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942" w:rsidRPr="00AD5942" w:rsidRDefault="00AD5942" w:rsidP="00AD5942">
      <w:pPr>
        <w:pageBreakBefore/>
        <w:shd w:val="clear" w:color="auto" w:fill="002060"/>
        <w:spacing w:after="200" w:line="276" w:lineRule="auto"/>
        <w:ind w:right="-285"/>
        <w:jc w:val="center"/>
        <w:outlineLvl w:val="0"/>
        <w:rPr>
          <w:rFonts w:ascii="Calibri" w:eastAsia="SimSun" w:hAnsi="Calibri"/>
          <w:b/>
          <w:color w:val="FFFFFF"/>
        </w:rPr>
      </w:pPr>
      <w:r w:rsidRPr="00AD5942">
        <w:rPr>
          <w:rFonts w:eastAsia="SimSun" w:cs="Calibri"/>
          <w:color w:val="00000A"/>
          <w:szCs w:val="22"/>
        </w:rPr>
        <w:fldChar w:fldCharType="begin"/>
      </w:r>
      <w:r w:rsidRPr="00AD5942">
        <w:rPr>
          <w:rFonts w:eastAsia="SimSun" w:cs="Calibri"/>
          <w:color w:val="00000A"/>
          <w:szCs w:val="22"/>
        </w:rPr>
        <w:instrText xml:space="preserve"> HYPERLINK \l "List_of_indicators" </w:instrText>
      </w:r>
      <w:r w:rsidRPr="00AD5942">
        <w:rPr>
          <w:rFonts w:eastAsia="SimSun" w:cs="Calibri"/>
          <w:color w:val="00000A"/>
          <w:szCs w:val="22"/>
        </w:rPr>
        <w:fldChar w:fldCharType="separate"/>
      </w:r>
      <w:r w:rsidRPr="00AD5942">
        <w:rPr>
          <w:rFonts w:ascii="Calibri" w:eastAsia="SimSun" w:hAnsi="Calibri"/>
          <w:b/>
          <w:color w:val="FFFFFF"/>
          <w:u w:val="single"/>
        </w:rPr>
        <w:t xml:space="preserve">Target </w:t>
      </w:r>
      <w:r w:rsidRPr="00AD5942">
        <w:rPr>
          <w:rFonts w:ascii="Calibri" w:eastAsia="SimSun" w:hAnsi="Calibri"/>
          <w:b/>
          <w:color w:val="FFFFFF"/>
          <w:u w:val="single"/>
        </w:rPr>
        <w:fldChar w:fldCharType="end"/>
      </w:r>
      <w:r w:rsidRPr="00AD5942">
        <w:rPr>
          <w:rFonts w:ascii="Calibri" w:eastAsia="SimSun" w:hAnsi="Calibri"/>
          <w:b/>
          <w:color w:val="FFFFFF"/>
          <w:u w:val="single"/>
          <w:shd w:val="clear" w:color="auto" w:fill="002060"/>
        </w:rPr>
        <w:t>14.4</w:t>
      </w:r>
      <w:r w:rsidRPr="00AD5942">
        <w:rPr>
          <w:rFonts w:ascii="Calibri" w:eastAsia="SimSun" w:hAnsi="Calibri"/>
          <w:b/>
          <w:color w:val="FFFFFF"/>
        </w:rPr>
        <w:t xml:space="preserve"> </w:t>
      </w:r>
      <w:r w:rsidRPr="00AD5942">
        <w:rPr>
          <w:rFonts w:ascii="Calibri" w:eastAsia="SimSun" w:hAnsi="Calibri"/>
          <w:b/>
          <w:color w:val="FFFFFF"/>
        </w:rPr>
        <w:br/>
        <w:t>“By 2020, effectively regulate harvesting and end overfishing, illegal, unreported and unregulated fishing and destructive fishing practices and implement science-based management plans, in order to restore fish stocks in the shortest time feasible, at least to levels that can produce maximum sustainable yield as determined by their biological characteristics”</w:t>
      </w:r>
    </w:p>
    <w:p w:rsidR="00AD5942" w:rsidRPr="00AD5942" w:rsidRDefault="00AD5942" w:rsidP="00AD5942">
      <w:pPr>
        <w:shd w:val="clear" w:color="auto" w:fill="FFFFFF"/>
        <w:spacing w:after="200" w:line="276" w:lineRule="auto"/>
        <w:ind w:right="-285"/>
        <w:jc w:val="center"/>
        <w:rPr>
          <w:rFonts w:eastAsia="SimSun" w:cs="Calibri"/>
          <w:color w:val="00000A"/>
          <w:szCs w:val="22"/>
        </w:rPr>
      </w:pPr>
    </w:p>
    <w:bookmarkStart w:id="0" w:name="Indicator_14_4_1"/>
    <w:p w:rsidR="00AD5942" w:rsidRPr="00AD5942" w:rsidRDefault="00AD5942" w:rsidP="00AD5942">
      <w:pPr>
        <w:shd w:val="clear" w:color="auto" w:fill="99FF99"/>
        <w:spacing w:after="200" w:line="276" w:lineRule="auto"/>
        <w:ind w:right="-285"/>
        <w:jc w:val="center"/>
        <w:rPr>
          <w:rFonts w:ascii="Calibri" w:eastAsia="SimSun" w:hAnsi="Calibri"/>
          <w:b/>
          <w:color w:val="auto"/>
        </w:rPr>
      </w:pPr>
      <w:r w:rsidRPr="00AD5942">
        <w:rPr>
          <w:rFonts w:eastAsia="SimSun" w:cs="Calibri"/>
          <w:color w:val="00000A"/>
          <w:szCs w:val="22"/>
        </w:rPr>
        <w:fldChar w:fldCharType="begin"/>
      </w:r>
      <w:r w:rsidRPr="00AD5942">
        <w:rPr>
          <w:rFonts w:eastAsia="SimSun" w:cs="Calibri"/>
          <w:color w:val="00000A"/>
          <w:szCs w:val="22"/>
        </w:rPr>
        <w:instrText xml:space="preserve"> HYPERLINK \l "List_of_indicators" </w:instrText>
      </w:r>
      <w:r w:rsidRPr="00AD5942">
        <w:rPr>
          <w:rFonts w:eastAsia="SimSun" w:cs="Calibri"/>
          <w:color w:val="00000A"/>
          <w:szCs w:val="22"/>
        </w:rPr>
        <w:fldChar w:fldCharType="separate"/>
      </w:r>
      <w:r w:rsidRPr="00AD5942">
        <w:rPr>
          <w:rFonts w:ascii="Calibri" w:eastAsia="SimSun" w:hAnsi="Calibri"/>
          <w:b/>
          <w:color w:val="auto"/>
        </w:rPr>
        <w:t>Indicator 14.4.1</w:t>
      </w:r>
      <w:r w:rsidRPr="00AD5942">
        <w:rPr>
          <w:rFonts w:ascii="Calibri" w:eastAsia="SimSun" w:hAnsi="Calibri"/>
          <w:b/>
          <w:color w:val="auto"/>
        </w:rPr>
        <w:fldChar w:fldCharType="end"/>
      </w:r>
      <w:bookmarkEnd w:id="0"/>
      <w:r w:rsidRPr="00AD5942">
        <w:rPr>
          <w:rFonts w:ascii="Calibri" w:eastAsia="SimSun" w:hAnsi="Calibri"/>
          <w:b/>
          <w:color w:val="auto"/>
        </w:rPr>
        <w:t xml:space="preserve"> (Core) </w:t>
      </w:r>
      <w:r w:rsidRPr="00AD5942">
        <w:rPr>
          <w:rFonts w:ascii="Calibri" w:eastAsia="SimSun" w:hAnsi="Calibri"/>
          <w:b/>
          <w:color w:val="auto"/>
        </w:rPr>
        <w:br/>
        <w:t>“</w:t>
      </w:r>
      <w:r w:rsidRPr="00AD5942">
        <w:rPr>
          <w:rFonts w:ascii="Calibri" w:eastAsia="SimSun" w:hAnsi="Calibri"/>
          <w:color w:val="auto"/>
        </w:rPr>
        <w:t>Proportion of fish stocks within biologically sustainable levels</w:t>
      </w:r>
      <w:r w:rsidRPr="00AD5942">
        <w:rPr>
          <w:rFonts w:ascii="Calibri" w:eastAsia="SimSun" w:hAnsi="Calibri"/>
          <w:b/>
          <w:color w:val="auto"/>
        </w:rPr>
        <w:t>”</w:t>
      </w:r>
    </w:p>
    <w:p w:rsidR="00AD5942" w:rsidRPr="00AD5942" w:rsidRDefault="00AD5942" w:rsidP="00AD5942">
      <w:pPr>
        <w:keepNext/>
        <w:keepLines/>
        <w:numPr>
          <w:ilvl w:val="0"/>
          <w:numId w:val="1"/>
        </w:numPr>
        <w:suppressAutoHyphens/>
        <w:spacing w:before="480" w:after="200" w:line="276" w:lineRule="auto"/>
        <w:ind w:left="714" w:right="-285" w:hanging="357"/>
        <w:jc w:val="both"/>
        <w:outlineLvl w:val="0"/>
        <w:rPr>
          <w:rFonts w:ascii="Calibri" w:eastAsia="Times New Roman" w:hAnsi="Calibri"/>
          <w:b/>
          <w:bCs/>
          <w:color w:val="auto"/>
          <w:sz w:val="22"/>
          <w:szCs w:val="22"/>
        </w:rPr>
      </w:pPr>
      <w:r w:rsidRPr="00AD5942">
        <w:rPr>
          <w:rFonts w:ascii="Calibri" w:eastAsia="Times New Roman" w:hAnsi="Calibri"/>
          <w:b/>
          <w:bCs/>
          <w:iCs/>
          <w:color w:val="auto"/>
          <w:sz w:val="22"/>
          <w:szCs w:val="22"/>
        </w:rPr>
        <w:t>Precise</w:t>
      </w:r>
      <w:r w:rsidRPr="00AD5942">
        <w:rPr>
          <w:rFonts w:ascii="Calibri" w:eastAsia="Times New Roman" w:hAnsi="Calibri"/>
          <w:b/>
          <w:bCs/>
          <w:color w:val="auto"/>
          <w:sz w:val="22"/>
          <w:szCs w:val="22"/>
        </w:rPr>
        <w:t xml:space="preserve"> definition of the indicator</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The indicator we propose is the “proportion of fish stocks within biologically sustainable levels</w:t>
      </w:r>
      <w:proofErr w:type="gramStart"/>
      <w:r w:rsidRPr="00AD5942">
        <w:rPr>
          <w:rFonts w:ascii="Calibri" w:eastAsia="Calibri" w:hAnsi="Calibri"/>
          <w:color w:val="auto"/>
          <w:sz w:val="22"/>
          <w:szCs w:val="22"/>
        </w:rPr>
        <w:t>”,</w:t>
      </w:r>
      <w:proofErr w:type="gramEnd"/>
      <w:r w:rsidRPr="00AD5942">
        <w:rPr>
          <w:rFonts w:ascii="Calibri" w:eastAsia="Calibri" w:hAnsi="Calibri"/>
          <w:color w:val="auto"/>
          <w:sz w:val="22"/>
          <w:szCs w:val="22"/>
        </w:rPr>
        <w:t xml:space="preserve"> not limits</w:t>
      </w:r>
      <w:r w:rsidRPr="00AD5942">
        <w:rPr>
          <w:rFonts w:ascii="Calibri" w:eastAsia="Calibri" w:hAnsi="Calibri"/>
          <w:color w:val="auto"/>
          <w:sz w:val="22"/>
          <w:szCs w:val="22"/>
          <w:vertAlign w:val="superscript"/>
        </w:rPr>
        <w:footnoteReference w:id="1"/>
      </w:r>
      <w:r w:rsidRPr="00AD5942">
        <w:rPr>
          <w:rFonts w:ascii="Calibri" w:eastAsia="Calibri" w:hAnsi="Calibri"/>
          <w:color w:val="auto"/>
          <w:sz w:val="22"/>
          <w:szCs w:val="22"/>
        </w:rPr>
        <w:t>. It is therefore slightly different from the indicator 7.4 currently included in the Millennium Development Goals</w:t>
      </w:r>
      <w:r w:rsidRPr="00AD5942">
        <w:rPr>
          <w:rFonts w:ascii="Calibri" w:eastAsia="Calibri" w:hAnsi="Calibri"/>
          <w:color w:val="auto"/>
          <w:sz w:val="22"/>
          <w:szCs w:val="22"/>
          <w:vertAlign w:val="superscript"/>
        </w:rPr>
        <w:footnoteReference w:id="2"/>
      </w:r>
      <w:r w:rsidRPr="00AD5942">
        <w:rPr>
          <w:rFonts w:ascii="Calibri" w:eastAsia="Calibri" w:hAnsi="Calibri"/>
          <w:color w:val="auto"/>
          <w:sz w:val="22"/>
          <w:szCs w:val="22"/>
        </w:rPr>
        <w:t>. The FAO Committee on Fisheries has requested changes (see the 2012 and 2014 Reports of the 30th and 31st Sessions of the Committee on Fisheries</w:t>
      </w:r>
      <w:r w:rsidRPr="00AD5942">
        <w:rPr>
          <w:rFonts w:ascii="Calibri" w:eastAsia="Calibri" w:hAnsi="Calibri"/>
          <w:color w:val="auto"/>
          <w:sz w:val="22"/>
          <w:szCs w:val="22"/>
          <w:vertAlign w:val="superscript"/>
        </w:rPr>
        <w:footnoteReference w:id="3"/>
      </w:r>
      <w:r w:rsidRPr="00AD5942">
        <w:rPr>
          <w:rFonts w:ascii="Calibri" w:eastAsia="Calibri" w:hAnsi="Calibri"/>
          <w:color w:val="auto"/>
          <w:sz w:val="22"/>
          <w:szCs w:val="22"/>
        </w:rPr>
        <w:t xml:space="preserve">) in the description of the status of the stocks based on sustainability to ensure clarify and reduce misunderstandings by the general public. </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The concept of “within biologically sustainable levels” means that abundance of the fish stock is at or higher than the level that can produce the maximum sustainable yield. </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We estimated 584 fish stocks around world, representing 70% of global landings. Each stock was estimated using the method described in FAO Technical Paper 569</w:t>
      </w:r>
      <w:r w:rsidRPr="00AD5942">
        <w:rPr>
          <w:rFonts w:ascii="Calibri" w:eastAsia="Calibri" w:hAnsi="Calibri"/>
          <w:color w:val="auto"/>
          <w:sz w:val="22"/>
          <w:szCs w:val="22"/>
          <w:vertAlign w:val="superscript"/>
        </w:rPr>
        <w:footnoteReference w:id="4"/>
      </w:r>
      <w:r w:rsidRPr="00AD5942">
        <w:rPr>
          <w:rFonts w:ascii="Calibri" w:eastAsia="Calibri" w:hAnsi="Calibri"/>
          <w:color w:val="auto"/>
          <w:sz w:val="22"/>
          <w:szCs w:val="22"/>
        </w:rPr>
        <w:t xml:space="preserve">. If the stock has abundance below the level that can produce maximum sustainable yield, it was counted as overfished. The indicator measures the % of the assessed stocks </w:t>
      </w:r>
      <w:proofErr w:type="gramStart"/>
      <w:r w:rsidRPr="00AD5942">
        <w:rPr>
          <w:rFonts w:ascii="Calibri" w:eastAsia="Calibri" w:hAnsi="Calibri"/>
          <w:color w:val="auto"/>
          <w:sz w:val="22"/>
          <w:szCs w:val="22"/>
        </w:rPr>
        <w:t>are</w:t>
      </w:r>
      <w:proofErr w:type="gramEnd"/>
      <w:r w:rsidRPr="00AD5942">
        <w:rPr>
          <w:rFonts w:ascii="Calibri" w:eastAsia="Calibri" w:hAnsi="Calibri"/>
          <w:color w:val="auto"/>
          <w:sz w:val="22"/>
          <w:szCs w:val="22"/>
        </w:rPr>
        <w:t xml:space="preserve"> within biologically sustainable levels. </w:t>
      </w:r>
    </w:p>
    <w:p w:rsidR="00AD5942" w:rsidRPr="00AD5942" w:rsidRDefault="00AD5942" w:rsidP="00AD5942">
      <w:pPr>
        <w:keepNext/>
        <w:keepLines/>
        <w:numPr>
          <w:ilvl w:val="0"/>
          <w:numId w:val="1"/>
        </w:numPr>
        <w:suppressAutoHyphens/>
        <w:spacing w:before="48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How is the indicator linked to the specific TARGET as worded in the OWG Report?</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The indicator is measuring directly the biological sustainability of fish production, therefore it is monitoring well target 14.4 according to which fisheries and aquaculture resources are to be conserved and used sustainably to contribute to food security.</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Indeed, when a stock is overfished (i.e., abundance dropping below the sustainable level), its productivity will be reduced. As such, the biodiversity and the functioning of the fishery ecosystem will be impaired. In addition, this will have a negative impact on food supply. </w:t>
      </w:r>
    </w:p>
    <w:p w:rsidR="00AD5942" w:rsidRPr="00AD5942" w:rsidRDefault="00AD5942" w:rsidP="00AD5942">
      <w:pPr>
        <w:keepNext/>
        <w:keepLines/>
        <w:numPr>
          <w:ilvl w:val="0"/>
          <w:numId w:val="1"/>
        </w:numPr>
        <w:suppressAutoHyphens/>
        <w:spacing w:before="48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lastRenderedPageBreak/>
        <w:t>Does the indicator already exist and is it regularly reported?</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Yes, FAO has maintained and reported this indicator since 1974.</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The global fish stock assessment program has been carried out by the Fishery Department and has been incorporated into its regular program activities. The assessment is usually done every 2 or 3 years.</w:t>
      </w:r>
    </w:p>
    <w:p w:rsidR="00AD5942" w:rsidRPr="00AD5942" w:rsidRDefault="00AD5942" w:rsidP="00AD5942">
      <w:pPr>
        <w:keepNext/>
        <w:keepLines/>
        <w:numPr>
          <w:ilvl w:val="0"/>
          <w:numId w:val="1"/>
        </w:numPr>
        <w:suppressAutoHyphens/>
        <w:spacing w:before="48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Comment on the reliability, potential coverage, comparability across countries, and the possibility to compute the indicator at sub-national level.</w:t>
      </w:r>
    </w:p>
    <w:p w:rsidR="00AD5942" w:rsidRPr="00AD5942" w:rsidRDefault="00AD5942" w:rsidP="00AD5942">
      <w:pPr>
        <w:keepNext/>
        <w:keepLines/>
        <w:spacing w:line="276" w:lineRule="auto"/>
        <w:ind w:left="714" w:right="-285"/>
        <w:jc w:val="both"/>
        <w:outlineLvl w:val="0"/>
        <w:rPr>
          <w:rFonts w:ascii="Calibri" w:eastAsia="Times New Roman" w:hAnsi="Calibri"/>
          <w:b/>
          <w:bCs/>
          <w:iCs/>
          <w:color w:val="auto"/>
          <w:sz w:val="22"/>
          <w:szCs w:val="22"/>
        </w:rPr>
      </w:pP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Reliability</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This is probably the most quoted and used indicator on fisheries (e.g. the Global Biodiversity Outlook</w:t>
      </w:r>
      <w:r w:rsidRPr="00AD5942">
        <w:rPr>
          <w:rFonts w:ascii="Calibri" w:eastAsia="Calibri" w:hAnsi="Calibri"/>
          <w:color w:val="auto"/>
          <w:sz w:val="22"/>
          <w:szCs w:val="22"/>
          <w:vertAlign w:val="superscript"/>
        </w:rPr>
        <w:footnoteReference w:id="5"/>
      </w:r>
      <w:r w:rsidRPr="00AD5942">
        <w:rPr>
          <w:rFonts w:ascii="Calibri" w:eastAsia="Calibri" w:hAnsi="Calibri"/>
          <w:color w:val="auto"/>
          <w:sz w:val="22"/>
          <w:szCs w:val="22"/>
        </w:rPr>
        <w:t>, reports from the Millennium Development Goal process, etc.) and the most widely accepted indicator at the global level. This because it was the earliest indicator established and it uses the most comprehensive approach in comparison with other recently emerged indicators and methodologies.</w:t>
      </w: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Coverage</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It is global, covering about 57% of the global catch. But it is not conducted by country. There are no current plans to do this by country because 1) fish migrates across areas beyond national jurisdictions, and 2) we don’t want to get into political problems. But, there would be some hope to attempt this if funds are made available.</w:t>
      </w: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Comparability across countries</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The assessment is not at country level, so not comparable among countries.</w:t>
      </w: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Sub-national estimates</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No such estimates currently exist.</w:t>
      </w:r>
    </w:p>
    <w:p w:rsidR="00AD5942" w:rsidRPr="00AD5942" w:rsidRDefault="00AD5942" w:rsidP="00AD5942">
      <w:pPr>
        <w:keepNext/>
        <w:keepLines/>
        <w:numPr>
          <w:ilvl w:val="0"/>
          <w:numId w:val="1"/>
        </w:numPr>
        <w:suppressAutoHyphens/>
        <w:spacing w:before="48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 xml:space="preserve">   Is there already a baseline value for 2015? </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There are a number of targets have been proposed for this indicator. For instance, the World Summit on Sustainable Development proposed reaching 100% by 2015, while the Convention on Biological Diversity (CBD) Aichi proposed the 100 percent target by 2020.</w:t>
      </w:r>
    </w:p>
    <w:p w:rsidR="00AD5942" w:rsidRPr="00AD5942" w:rsidRDefault="00AD5942" w:rsidP="00AD5942">
      <w:pPr>
        <w:rPr>
          <w:rFonts w:ascii="Calibri" w:eastAsia="Calibri" w:hAnsi="Calibri"/>
          <w:color w:val="auto"/>
          <w:sz w:val="22"/>
          <w:szCs w:val="22"/>
        </w:rPr>
      </w:pPr>
      <w:r w:rsidRPr="00AD5942">
        <w:rPr>
          <w:rFonts w:ascii="Calibri" w:eastAsia="Calibri" w:hAnsi="Calibri"/>
          <w:color w:val="auto"/>
          <w:sz w:val="22"/>
          <w:szCs w:val="22"/>
        </w:rPr>
        <w:br w:type="page"/>
      </w:r>
    </w:p>
    <w:p w:rsidR="00AD5942" w:rsidRPr="00AD5942" w:rsidRDefault="00AD5942" w:rsidP="00AD5942">
      <w:pPr>
        <w:pageBreakBefore/>
        <w:shd w:val="clear" w:color="auto" w:fill="002060"/>
        <w:spacing w:after="200" w:line="276" w:lineRule="auto"/>
        <w:ind w:right="-285"/>
        <w:jc w:val="center"/>
        <w:outlineLvl w:val="0"/>
        <w:rPr>
          <w:rFonts w:ascii="Calibri" w:eastAsia="SimSun" w:hAnsi="Calibri"/>
          <w:b/>
          <w:color w:val="FFFFFF"/>
        </w:rPr>
      </w:pPr>
      <w:hyperlink w:anchor="List_of_indicators" w:history="1">
        <w:r w:rsidRPr="00AD5942">
          <w:rPr>
            <w:rFonts w:ascii="Calibri" w:eastAsia="SimSun" w:hAnsi="Calibri"/>
            <w:b/>
            <w:color w:val="FFFFFF"/>
            <w:u w:val="single"/>
          </w:rPr>
          <w:t xml:space="preserve">Target </w:t>
        </w:r>
      </w:hyperlink>
      <w:r w:rsidRPr="00AD5942">
        <w:rPr>
          <w:rFonts w:ascii="Calibri" w:eastAsia="SimSun" w:hAnsi="Calibri"/>
          <w:b/>
          <w:color w:val="FFFFFF"/>
          <w:u w:val="single"/>
          <w:shd w:val="clear" w:color="auto" w:fill="002060"/>
        </w:rPr>
        <w:t>14.6</w:t>
      </w:r>
      <w:r w:rsidRPr="00AD5942">
        <w:rPr>
          <w:rFonts w:ascii="Calibri" w:eastAsia="SimSun" w:hAnsi="Calibri"/>
          <w:b/>
          <w:color w:val="FFFFFF"/>
        </w:rPr>
        <w:t xml:space="preserve"> </w:t>
      </w:r>
      <w:r w:rsidRPr="00AD5942">
        <w:rPr>
          <w:rFonts w:ascii="Calibri" w:eastAsia="SimSun" w:hAnsi="Calibri"/>
          <w:b/>
          <w:color w:val="FFFFFF"/>
        </w:rPr>
        <w:br/>
        <w:t>“By 2020, prohibit certain forms of fisheries subsidies which contribute to overcapacity and overfishing, eliminate subsidies that contribute to illegal, unreported and unregulated fishing and refrain from introducing new such subsidies, recognizing that appropriate and effective special and differential treatment for developing and least developed countries should be an integral part of the World Trade Organization fisheries subsidies negotiation”</w:t>
      </w:r>
    </w:p>
    <w:p w:rsidR="00AD5942" w:rsidRPr="00AD5942" w:rsidRDefault="00AD5942" w:rsidP="00AD5942">
      <w:pPr>
        <w:spacing w:line="276" w:lineRule="auto"/>
        <w:ind w:right="-285"/>
        <w:jc w:val="both"/>
        <w:rPr>
          <w:rFonts w:ascii="Calibri" w:eastAsia="SimSun" w:hAnsi="Calibri"/>
          <w:i/>
          <w:color w:val="auto"/>
          <w:sz w:val="22"/>
          <w:szCs w:val="22"/>
          <w:lang w:eastAsia="en-GB"/>
        </w:rPr>
      </w:pPr>
      <w:r w:rsidRPr="00AD5942">
        <w:rPr>
          <w:rFonts w:ascii="Calibri" w:eastAsia="SimSun" w:hAnsi="Calibri"/>
          <w:i/>
          <w:color w:val="auto"/>
          <w:sz w:val="22"/>
          <w:szCs w:val="22"/>
          <w:lang w:eastAsia="en-GB"/>
        </w:rPr>
        <w:t>During the Sixteenth Meeting of the UN Open-ended informal consultative process on Oceans and the Law of the Sea, April 6-10, member states frequently mentioned the omission of an indicator on IUU fishing for SDG 14, an issue cited as being directly relevant to the three dimensions of sustainability. In view of these concerns, FAO has proposed as additional indicator for this target, formulated as "Progress by countries in the implementation of international instruments on IUU fishing”, which is also relevant for target 14.4.</w:t>
      </w:r>
    </w:p>
    <w:p w:rsidR="00AD5942" w:rsidRPr="00AD5942" w:rsidRDefault="00AD5942" w:rsidP="00AD5942">
      <w:pPr>
        <w:spacing w:line="276" w:lineRule="auto"/>
        <w:ind w:right="-285"/>
        <w:jc w:val="both"/>
        <w:rPr>
          <w:rFonts w:ascii="Calibri" w:eastAsia="SimSun" w:hAnsi="Calibri"/>
          <w:i/>
          <w:color w:val="auto"/>
          <w:sz w:val="22"/>
          <w:szCs w:val="22"/>
          <w:lang w:eastAsia="en-GB"/>
        </w:rPr>
      </w:pPr>
    </w:p>
    <w:p w:rsidR="00AD5942" w:rsidRPr="00AD5942" w:rsidRDefault="00AD5942" w:rsidP="00AD5942">
      <w:pPr>
        <w:spacing w:line="276" w:lineRule="auto"/>
        <w:ind w:right="-285"/>
        <w:jc w:val="both"/>
        <w:rPr>
          <w:rFonts w:ascii="Calibri" w:eastAsia="SimSun" w:hAnsi="Calibri"/>
          <w:i/>
          <w:color w:val="auto"/>
          <w:sz w:val="22"/>
          <w:szCs w:val="22"/>
          <w:lang w:eastAsia="en-GB"/>
        </w:rPr>
      </w:pPr>
      <w:r w:rsidRPr="00AD5942">
        <w:rPr>
          <w:rFonts w:ascii="Calibri" w:eastAsia="SimSun" w:hAnsi="Calibri"/>
          <w:i/>
          <w:color w:val="auto"/>
          <w:sz w:val="22"/>
          <w:szCs w:val="22"/>
          <w:lang w:eastAsia="en-GB"/>
        </w:rPr>
        <w:t xml:space="preserve">In FAO’s view, this indicator would be more appropriate for monitoring this target than the proposals currently listed in UNSD’s preliminary list. Subsidies are not only a highly sensitive matter among member states, but “negative fishery subsidies” has no agreed definition. An indicator based on negative fishery subsidies is therefore unlikely to be accepted by member states, and may even be introducing new /contentious issues, in contravention to what has been requested by the IAEG-SDG.  </w:t>
      </w:r>
    </w:p>
    <w:p w:rsidR="00AD5942" w:rsidRPr="00AD5942" w:rsidRDefault="00AD5942" w:rsidP="00AD5942">
      <w:pPr>
        <w:spacing w:line="276" w:lineRule="auto"/>
        <w:ind w:right="-285"/>
        <w:jc w:val="both"/>
        <w:rPr>
          <w:rFonts w:ascii="Calibri" w:eastAsia="SimSun" w:hAnsi="Calibri"/>
          <w:i/>
          <w:color w:val="auto"/>
          <w:sz w:val="22"/>
          <w:szCs w:val="22"/>
          <w:lang w:eastAsia="en-GB"/>
        </w:rPr>
      </w:pPr>
    </w:p>
    <w:p w:rsidR="00AD5942" w:rsidRPr="00AD5942" w:rsidRDefault="00AD5942" w:rsidP="00AD5942">
      <w:pPr>
        <w:spacing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br w:type="page"/>
      </w:r>
    </w:p>
    <w:p w:rsidR="00AD5942" w:rsidRPr="00AD5942" w:rsidRDefault="00AD5942" w:rsidP="00AD5942">
      <w:pPr>
        <w:shd w:val="clear" w:color="auto" w:fill="99FF99"/>
        <w:spacing w:after="200" w:line="276" w:lineRule="auto"/>
        <w:ind w:right="-285"/>
        <w:jc w:val="center"/>
        <w:rPr>
          <w:rFonts w:ascii="Calibri" w:eastAsia="SimSun" w:hAnsi="Calibri"/>
          <w:b/>
          <w:color w:val="auto"/>
        </w:rPr>
      </w:pPr>
      <w:bookmarkStart w:id="1" w:name="Indicator_14_4_2"/>
      <w:bookmarkStart w:id="2" w:name="Indicator_14_6_1"/>
      <w:r w:rsidRPr="00AD5942">
        <w:rPr>
          <w:rFonts w:ascii="Calibri" w:eastAsia="SimSun" w:hAnsi="Calibri"/>
          <w:b/>
          <w:color w:val="auto"/>
        </w:rPr>
        <w:lastRenderedPageBreak/>
        <w:t>Indicator 14.6.1 (Core</w:t>
      </w:r>
      <w:proofErr w:type="gramStart"/>
      <w:r w:rsidRPr="00AD5942">
        <w:rPr>
          <w:rFonts w:ascii="Calibri" w:eastAsia="SimSun" w:hAnsi="Calibri"/>
          <w:b/>
          <w:color w:val="auto"/>
        </w:rPr>
        <w:t>)</w:t>
      </w:r>
      <w:bookmarkEnd w:id="1"/>
      <w:proofErr w:type="gramEnd"/>
      <w:r w:rsidRPr="00AD5942">
        <w:rPr>
          <w:rFonts w:ascii="Calibri" w:eastAsia="SimSun" w:hAnsi="Calibri"/>
          <w:b/>
          <w:color w:val="auto"/>
        </w:rPr>
        <w:br/>
      </w:r>
      <w:bookmarkEnd w:id="2"/>
      <w:r w:rsidRPr="00AD5942">
        <w:rPr>
          <w:rFonts w:ascii="Calibri" w:eastAsia="SimSun" w:hAnsi="Calibri"/>
          <w:color w:val="auto"/>
        </w:rPr>
        <w:t>“Progress by countries in [level/degree of] the implementation of international instruments aiming to combat IUU fishing”</w:t>
      </w:r>
    </w:p>
    <w:p w:rsidR="00AD5942" w:rsidRPr="00AD5942" w:rsidRDefault="00AD5942" w:rsidP="00AD5942">
      <w:pPr>
        <w:spacing w:line="276" w:lineRule="auto"/>
        <w:ind w:left="360"/>
        <w:rPr>
          <w:rFonts w:ascii="Calibri" w:eastAsia="SimSun" w:hAnsi="Calibri" w:cs="Calibri"/>
          <w:b/>
          <w:color w:val="00000A"/>
          <w:sz w:val="22"/>
        </w:rPr>
      </w:pPr>
    </w:p>
    <w:p w:rsidR="00AD5942" w:rsidRPr="00AD5942" w:rsidRDefault="00AD5942" w:rsidP="00AD5942">
      <w:pPr>
        <w:numPr>
          <w:ilvl w:val="0"/>
          <w:numId w:val="9"/>
        </w:numPr>
        <w:suppressAutoHyphens/>
        <w:spacing w:after="200" w:line="276" w:lineRule="auto"/>
        <w:ind w:left="851"/>
        <w:rPr>
          <w:rFonts w:ascii="Calibri" w:eastAsia="SimSun" w:hAnsi="Calibri" w:cs="Calibri"/>
          <w:b/>
          <w:color w:val="00000A"/>
          <w:sz w:val="22"/>
        </w:rPr>
      </w:pPr>
      <w:r w:rsidRPr="00AD5942">
        <w:rPr>
          <w:rFonts w:ascii="Calibri" w:eastAsia="SimSun" w:hAnsi="Calibri" w:cs="Calibri"/>
          <w:b/>
          <w:color w:val="00000A"/>
          <w:sz w:val="22"/>
        </w:rPr>
        <w:t>What is the precise definition of the indicator?</w:t>
      </w:r>
    </w:p>
    <w:p w:rsidR="00AD5942" w:rsidRPr="00AD5942" w:rsidRDefault="00AD5942" w:rsidP="00AD5942">
      <w:pPr>
        <w:spacing w:line="276" w:lineRule="auto"/>
        <w:ind w:left="360"/>
        <w:rPr>
          <w:rFonts w:ascii="Calibri" w:eastAsia="SimSun" w:hAnsi="Calibri" w:cs="Calibri"/>
          <w:b/>
          <w:color w:val="00000A"/>
          <w:sz w:val="22"/>
        </w:rPr>
      </w:pPr>
    </w:p>
    <w:p w:rsidR="00AD5942" w:rsidRPr="00AD5942" w:rsidRDefault="00AD5942" w:rsidP="00AD5942">
      <w:pPr>
        <w:suppressAutoHyphens/>
        <w:spacing w:after="200" w:line="276" w:lineRule="auto"/>
        <w:ind w:right="-285"/>
        <w:jc w:val="both"/>
        <w:rPr>
          <w:rFonts w:ascii="Calibri" w:eastAsia="SimSun" w:hAnsi="Calibri" w:cs="Calibri"/>
          <w:color w:val="00000A"/>
          <w:sz w:val="22"/>
        </w:rPr>
      </w:pPr>
      <w:r w:rsidRPr="00AD5942">
        <w:rPr>
          <w:rFonts w:ascii="Calibri" w:eastAsia="SimSun" w:hAnsi="Calibri" w:cs="Calibri"/>
          <w:color w:val="00000A"/>
          <w:sz w:val="22"/>
        </w:rPr>
        <w:t xml:space="preserve">The indicator focuses on the effort to combat IUU fishing through the effective implementation of key international instruments relevant to IUU fishing. </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The indicator is based on FAO member country responses to the Code of Conduct for Responsible Fisheries (CCRF) survey questionnaire</w:t>
      </w:r>
      <w:r w:rsidRPr="00AD5942">
        <w:rPr>
          <w:rFonts w:ascii="Calibri" w:eastAsia="SimSun" w:hAnsi="Calibri" w:cs="Calibri"/>
          <w:bCs/>
          <w:color w:val="00000A"/>
          <w:sz w:val="22"/>
          <w:vertAlign w:val="superscript"/>
          <w:lang w:val="en-US"/>
        </w:rPr>
        <w:footnoteReference w:id="6"/>
      </w:r>
      <w:r w:rsidRPr="00AD5942">
        <w:rPr>
          <w:rFonts w:ascii="Calibri" w:eastAsia="SimSun" w:hAnsi="Calibri" w:cs="Calibri"/>
          <w:bCs/>
          <w:color w:val="00000A"/>
          <w:sz w:val="22"/>
          <w:lang w:val="en-US"/>
        </w:rPr>
        <w:t xml:space="preserve"> which is circulated by FAO every two years to members and IGOs and INGOs. This indicator is calculated on the basis of the efforts being made by countries to implement key international instruments aiming to combat IUU fishing, as reported in a given year of the survey.</w:t>
      </w:r>
    </w:p>
    <w:p w:rsidR="00AD5942" w:rsidRPr="00AD5942" w:rsidRDefault="00AD5942" w:rsidP="00AD5942">
      <w:pPr>
        <w:suppressAutoHyphens/>
        <w:spacing w:after="200" w:line="276" w:lineRule="auto"/>
        <w:ind w:right="-285"/>
        <w:jc w:val="both"/>
        <w:rPr>
          <w:rFonts w:ascii="Calibri" w:eastAsia="SimSun" w:hAnsi="Calibri" w:cs="Calibri"/>
          <w:b/>
          <w:bCs/>
          <w:i/>
          <w:iCs/>
          <w:color w:val="00000A"/>
          <w:sz w:val="22"/>
          <w:lang w:val="en-US"/>
        </w:rPr>
      </w:pPr>
      <w:r w:rsidRPr="00AD5942">
        <w:rPr>
          <w:rFonts w:ascii="Calibri" w:eastAsia="SimSun" w:hAnsi="Calibri" w:cs="Calibri"/>
          <w:bCs/>
          <w:color w:val="00000A"/>
          <w:sz w:val="22"/>
          <w:lang w:val="en-US"/>
        </w:rPr>
        <w:t xml:space="preserve"> </w:t>
      </w:r>
      <w:r w:rsidRPr="00AD5942">
        <w:rPr>
          <w:rFonts w:ascii="Calibri" w:eastAsia="SimSun" w:hAnsi="Calibri" w:cs="Calibri"/>
          <w:b/>
          <w:bCs/>
          <w:i/>
          <w:iCs/>
          <w:color w:val="00000A"/>
          <w:sz w:val="22"/>
          <w:lang w:val="en-US"/>
        </w:rPr>
        <w:t>Indicator variables</w:t>
      </w:r>
    </w:p>
    <w:p w:rsidR="00AD5942" w:rsidRPr="00AD5942" w:rsidRDefault="00AD5942" w:rsidP="00AD5942">
      <w:pPr>
        <w:numPr>
          <w:ilvl w:val="0"/>
          <w:numId w:val="8"/>
        </w:num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Development and implementation of national plan of action (NPOA) to combat IUU fishing in line with the IPOA-IUU</w:t>
      </w:r>
    </w:p>
    <w:p w:rsidR="00AD5942" w:rsidRPr="00AD5942" w:rsidRDefault="00AD5942" w:rsidP="00AD5942">
      <w:pPr>
        <w:numPr>
          <w:ilvl w:val="0"/>
          <w:numId w:val="8"/>
        </w:num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Ratification and implementation of the 2009 FAO Agreement on Port State Measures</w:t>
      </w:r>
    </w:p>
    <w:p w:rsidR="00AD5942" w:rsidRPr="00AD5942" w:rsidRDefault="00AD5942" w:rsidP="00AD5942">
      <w:pPr>
        <w:numPr>
          <w:ilvl w:val="0"/>
          <w:numId w:val="8"/>
        </w:num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Ratification and implementation of the 1993 FAO Compliance Agreement</w:t>
      </w:r>
    </w:p>
    <w:p w:rsidR="00AD5942" w:rsidRPr="00AD5942" w:rsidRDefault="00AD5942" w:rsidP="00AD5942">
      <w:pPr>
        <w:suppressAutoHyphens/>
        <w:spacing w:after="200" w:line="276" w:lineRule="auto"/>
        <w:ind w:right="-285"/>
        <w:jc w:val="both"/>
        <w:rPr>
          <w:rFonts w:ascii="Calibri" w:eastAsia="SimSun" w:hAnsi="Calibri" w:cs="Calibri"/>
          <w:b/>
          <w:bCs/>
          <w:i/>
          <w:iCs/>
          <w:color w:val="00000A"/>
          <w:sz w:val="22"/>
          <w:lang w:val="en-US"/>
        </w:rPr>
      </w:pPr>
      <w:r w:rsidRPr="00AD5942">
        <w:rPr>
          <w:rFonts w:ascii="Calibri" w:eastAsia="SimSun" w:hAnsi="Calibri" w:cs="Calibri"/>
          <w:b/>
          <w:bCs/>
          <w:i/>
          <w:iCs/>
          <w:color w:val="00000A"/>
          <w:sz w:val="22"/>
          <w:lang w:val="en-US"/>
        </w:rPr>
        <w:t>Indicator calculation</w:t>
      </w:r>
    </w:p>
    <w:p w:rsidR="00AD5942" w:rsidRPr="00AD5942" w:rsidRDefault="00AD5942" w:rsidP="00AD5942">
      <w:pPr>
        <w:suppressAutoHyphens/>
        <w:spacing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 xml:space="preserve">The </w:t>
      </w:r>
      <w:proofErr w:type="gramStart"/>
      <w:r w:rsidRPr="00AD5942">
        <w:rPr>
          <w:rFonts w:ascii="Calibri" w:eastAsia="SimSun" w:hAnsi="Calibri" w:cs="Calibri"/>
          <w:bCs/>
          <w:color w:val="00000A"/>
          <w:sz w:val="22"/>
          <w:lang w:val="en-US"/>
        </w:rPr>
        <w:t>weight given to each of the variables</w:t>
      </w:r>
      <w:r w:rsidRPr="00AD5942">
        <w:rPr>
          <w:rFonts w:ascii="Calibri" w:eastAsia="SimSun" w:hAnsi="Calibri" w:cs="Calibri"/>
          <w:b/>
          <w:bCs/>
          <w:i/>
          <w:iCs/>
          <w:color w:val="00000A"/>
          <w:sz w:val="22"/>
          <w:lang w:val="en-US"/>
        </w:rPr>
        <w:t xml:space="preserve"> </w:t>
      </w:r>
      <w:r w:rsidRPr="00AD5942">
        <w:rPr>
          <w:rFonts w:ascii="Calibri" w:eastAsia="SimSun" w:hAnsi="Calibri" w:cs="Calibri"/>
          <w:bCs/>
          <w:color w:val="00000A"/>
          <w:sz w:val="22"/>
          <w:lang w:val="en-US"/>
        </w:rPr>
        <w:t>in calculating the indicator value for each country are</w:t>
      </w:r>
      <w:proofErr w:type="gramEnd"/>
      <w:r w:rsidRPr="00AD5942">
        <w:rPr>
          <w:rFonts w:ascii="Calibri" w:eastAsia="SimSun" w:hAnsi="Calibri" w:cs="Calibri"/>
          <w:bCs/>
          <w:color w:val="00000A"/>
          <w:sz w:val="22"/>
          <w:lang w:val="en-US"/>
        </w:rPr>
        <w:t xml:space="preserve"> as follows:</w:t>
      </w:r>
    </w:p>
    <w:p w:rsidR="00AD5942" w:rsidRPr="00AD5942" w:rsidRDefault="00AD5942" w:rsidP="00AD5942">
      <w:pPr>
        <w:numPr>
          <w:ilvl w:val="0"/>
          <w:numId w:val="10"/>
        </w:num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Variable 1 – 40%</w:t>
      </w:r>
    </w:p>
    <w:p w:rsidR="00AD5942" w:rsidRPr="00AD5942" w:rsidRDefault="00AD5942" w:rsidP="00AD5942">
      <w:pPr>
        <w:numPr>
          <w:ilvl w:val="0"/>
          <w:numId w:val="10"/>
        </w:num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Variable 2 – 40%</w:t>
      </w:r>
    </w:p>
    <w:p w:rsidR="00AD5942" w:rsidRPr="00AD5942" w:rsidRDefault="00AD5942" w:rsidP="00AD5942">
      <w:pPr>
        <w:numPr>
          <w:ilvl w:val="0"/>
          <w:numId w:val="10"/>
        </w:num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Variable 3 – 20%</w:t>
      </w:r>
    </w:p>
    <w:p w:rsidR="00AD5942" w:rsidRPr="00AD5942" w:rsidRDefault="00AD5942" w:rsidP="00AD5942">
      <w:pPr>
        <w:suppressAutoHyphens/>
        <w:spacing w:after="200" w:line="276" w:lineRule="auto"/>
        <w:ind w:right="-285"/>
        <w:jc w:val="both"/>
        <w:rPr>
          <w:rFonts w:ascii="Calibri" w:eastAsia="SimSun" w:hAnsi="Calibri" w:cs="Calibri"/>
          <w:b/>
          <w:bCs/>
          <w:i/>
          <w:iCs/>
          <w:color w:val="00000A"/>
          <w:sz w:val="22"/>
          <w:lang w:val="en-US"/>
        </w:rPr>
      </w:pPr>
      <w:r w:rsidRPr="00AD5942">
        <w:rPr>
          <w:rFonts w:ascii="Calibri" w:eastAsia="SimSun" w:hAnsi="Calibri" w:cs="Calibri"/>
          <w:b/>
          <w:bCs/>
          <w:i/>
          <w:iCs/>
          <w:color w:val="00000A"/>
          <w:sz w:val="22"/>
          <w:lang w:val="en-US"/>
        </w:rPr>
        <w:t>Scoring</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 xml:space="preserve">The absence of an NPOA and the lack of ratification of the binding Agreements will automatically result in a “zero” score for the respective </w:t>
      </w:r>
      <w:proofErr w:type="gramStart"/>
      <w:r w:rsidRPr="00AD5942">
        <w:rPr>
          <w:rFonts w:ascii="Calibri" w:eastAsia="SimSun" w:hAnsi="Calibri" w:cs="Calibri"/>
          <w:bCs/>
          <w:color w:val="00000A"/>
          <w:sz w:val="22"/>
          <w:lang w:val="en-US"/>
        </w:rPr>
        <w:t>variables,</w:t>
      </w:r>
      <w:proofErr w:type="gramEnd"/>
      <w:r w:rsidRPr="00AD5942">
        <w:rPr>
          <w:rFonts w:ascii="Calibri" w:eastAsia="SimSun" w:hAnsi="Calibri" w:cs="Calibri"/>
          <w:bCs/>
          <w:color w:val="00000A"/>
          <w:sz w:val="22"/>
          <w:lang w:val="en-US"/>
        </w:rPr>
        <w:t xml:space="preserve"> unless there is evidence that efforts to address the matter are being made (in which case some points are awarded). For each variable, the maximum score will be obtained if implementation is also present, as reported.  As this indicator </w:t>
      </w:r>
      <w:proofErr w:type="gramStart"/>
      <w:r w:rsidRPr="00AD5942">
        <w:rPr>
          <w:rFonts w:ascii="Calibri" w:eastAsia="SimSun" w:hAnsi="Calibri" w:cs="Calibri"/>
          <w:bCs/>
          <w:color w:val="00000A"/>
          <w:sz w:val="22"/>
          <w:lang w:val="en-US"/>
        </w:rPr>
        <w:t>would  be</w:t>
      </w:r>
      <w:proofErr w:type="gramEnd"/>
      <w:r w:rsidRPr="00AD5942">
        <w:rPr>
          <w:rFonts w:ascii="Calibri" w:eastAsia="SimSun" w:hAnsi="Calibri" w:cs="Calibri"/>
          <w:bCs/>
          <w:color w:val="00000A"/>
          <w:sz w:val="22"/>
          <w:lang w:val="en-US"/>
        </w:rPr>
        <w:t xml:space="preserve"> reported in the biannual CCRF survey, difference in score as compared to the preceding year of the previous survey response will reflect the progress made during the survey periods.</w:t>
      </w:r>
    </w:p>
    <w:p w:rsidR="00AD5942" w:rsidRPr="00AD5942" w:rsidRDefault="00AD5942" w:rsidP="00AD5942">
      <w:pPr>
        <w:numPr>
          <w:ilvl w:val="0"/>
          <w:numId w:val="9"/>
        </w:numPr>
        <w:suppressAutoHyphens/>
        <w:spacing w:after="200" w:line="276" w:lineRule="auto"/>
        <w:ind w:left="851" w:right="-285"/>
        <w:jc w:val="both"/>
        <w:rPr>
          <w:rFonts w:ascii="Calibri" w:eastAsia="SimSun" w:hAnsi="Calibri" w:cs="Calibri"/>
          <w:b/>
          <w:bCs/>
          <w:color w:val="00000A"/>
          <w:sz w:val="22"/>
          <w:lang w:val="en-US"/>
        </w:rPr>
      </w:pPr>
      <w:r w:rsidRPr="00AD5942">
        <w:rPr>
          <w:rFonts w:ascii="Calibri" w:eastAsia="SimSun" w:hAnsi="Calibri" w:cs="Calibri"/>
          <w:b/>
          <w:bCs/>
          <w:color w:val="00000A"/>
          <w:sz w:val="22"/>
          <w:lang w:val="en-US"/>
        </w:rPr>
        <w:t>How is the indicator linked to the specific TARGET as worded in the OWG Report?</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lastRenderedPageBreak/>
        <w:t xml:space="preserve">The indicator is not directly linked to a given specific target, but IUU fishing is addressed both in Targets 14.4 and 14.6. Information on progress made in combating IUU fishing through implementation of international instruments however can be compiled and presented to serve as essential data for monitoring of efforts towards achieving the said Targets. </w:t>
      </w:r>
    </w:p>
    <w:p w:rsidR="00AD5942" w:rsidRPr="00AD5942" w:rsidRDefault="00AD5942" w:rsidP="00AD5942">
      <w:pPr>
        <w:numPr>
          <w:ilvl w:val="0"/>
          <w:numId w:val="9"/>
        </w:numPr>
        <w:suppressAutoHyphens/>
        <w:spacing w:after="200" w:line="276" w:lineRule="auto"/>
        <w:ind w:left="851" w:right="-285"/>
        <w:jc w:val="both"/>
        <w:rPr>
          <w:rFonts w:ascii="Calibri" w:eastAsia="SimSun" w:hAnsi="Calibri" w:cs="Calibri"/>
          <w:b/>
          <w:bCs/>
          <w:color w:val="00000A"/>
          <w:sz w:val="22"/>
          <w:lang w:val="en-US"/>
        </w:rPr>
      </w:pPr>
      <w:r w:rsidRPr="00AD5942">
        <w:rPr>
          <w:rFonts w:ascii="Calibri" w:eastAsia="SimSun" w:hAnsi="Calibri" w:cs="Calibri"/>
          <w:b/>
          <w:bCs/>
          <w:color w:val="00000A"/>
          <w:sz w:val="22"/>
          <w:lang w:val="en-US"/>
        </w:rPr>
        <w:t>Does the indicator already exist and is it regularly reported?</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There is currently not such an indicator but FAO’s biannual survey on CCRF implementation already compiles responses by Members on the above mentioned instruments. Therefore, survey responses and results on this indicator could be reported and presented every two years to COFI. This information could serve the purposes of monitoring on Targets 14.4 and 14.6.</w:t>
      </w:r>
    </w:p>
    <w:p w:rsidR="00AD5942" w:rsidRPr="00AD5942" w:rsidRDefault="00AD5942" w:rsidP="00AD5942">
      <w:pPr>
        <w:numPr>
          <w:ilvl w:val="0"/>
          <w:numId w:val="12"/>
        </w:numPr>
        <w:suppressAutoHyphens/>
        <w:spacing w:after="200" w:line="276" w:lineRule="auto"/>
        <w:ind w:left="851" w:right="-285"/>
        <w:jc w:val="both"/>
        <w:rPr>
          <w:rFonts w:ascii="Calibri" w:eastAsia="SimSun" w:hAnsi="Calibri" w:cs="Calibri"/>
          <w:b/>
          <w:bCs/>
          <w:color w:val="00000A"/>
          <w:sz w:val="22"/>
          <w:lang w:val="en-US"/>
        </w:rPr>
      </w:pPr>
      <w:r w:rsidRPr="00AD5942">
        <w:rPr>
          <w:rFonts w:ascii="Calibri" w:eastAsia="SimSun" w:hAnsi="Calibri" w:cs="Calibri"/>
          <w:b/>
          <w:bCs/>
          <w:color w:val="00000A"/>
          <w:sz w:val="22"/>
          <w:lang w:val="en-US"/>
        </w:rPr>
        <w:t>Comment on the reliability, potential coverage, comparability across countries, and the possibility to compute the indicator at sub-national level.</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u w:val="single"/>
          <w:lang w:val="en-US"/>
        </w:rPr>
      </w:pPr>
      <w:r w:rsidRPr="00AD5942">
        <w:rPr>
          <w:rFonts w:ascii="Calibri" w:eastAsia="SimSun" w:hAnsi="Calibri" w:cs="Calibri"/>
          <w:bCs/>
          <w:color w:val="00000A"/>
          <w:sz w:val="22"/>
          <w:u w:val="single"/>
          <w:lang w:val="en-US"/>
        </w:rPr>
        <w:t>Reliability</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As long FAO Member Countries do respond to the CCRF Survey, as managed by FI, and responses are reviewed and compiled and presented by FI to COFI, the reliability and comprehensiveness of the global information and data set provided will enjoy significant and growing political recognition among FAO’s Member Countries and the general public.</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u w:val="single"/>
          <w:lang w:val="en-US"/>
        </w:rPr>
      </w:pPr>
      <w:r w:rsidRPr="00AD5942">
        <w:rPr>
          <w:rFonts w:ascii="Calibri" w:eastAsia="SimSun" w:hAnsi="Calibri" w:cs="Calibri"/>
          <w:bCs/>
          <w:color w:val="00000A"/>
          <w:sz w:val="22"/>
          <w:u w:val="single"/>
          <w:lang w:val="en-US"/>
        </w:rPr>
        <w:t>Coverage</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 xml:space="preserve">The proposed indicator on IUU fishing would be global, covering all FAO members. </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u w:val="single"/>
          <w:lang w:val="en-US"/>
        </w:rPr>
      </w:pPr>
      <w:r w:rsidRPr="00AD5942">
        <w:rPr>
          <w:rFonts w:ascii="Calibri" w:eastAsia="SimSun" w:hAnsi="Calibri" w:cs="Calibri"/>
          <w:bCs/>
          <w:color w:val="00000A"/>
          <w:sz w:val="22"/>
          <w:u w:val="single"/>
          <w:lang w:val="en-US"/>
        </w:rPr>
        <w:t>Comparability across countries</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It would be possible to compare across countries and regions.</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u w:val="single"/>
          <w:lang w:val="en-US"/>
        </w:rPr>
      </w:pPr>
      <w:r w:rsidRPr="00AD5942">
        <w:rPr>
          <w:rFonts w:ascii="Calibri" w:eastAsia="SimSun" w:hAnsi="Calibri" w:cs="Calibri"/>
          <w:bCs/>
          <w:color w:val="00000A"/>
          <w:sz w:val="22"/>
          <w:u w:val="single"/>
          <w:lang w:val="en-US"/>
        </w:rPr>
        <w:t>Sub-national estimates</w:t>
      </w:r>
    </w:p>
    <w:p w:rsidR="00AD5942" w:rsidRPr="00AD5942" w:rsidRDefault="00AD5942" w:rsidP="00AD5942">
      <w:pPr>
        <w:suppressAutoHyphens/>
        <w:spacing w:after="200" w:line="276" w:lineRule="auto"/>
        <w:ind w:right="-285"/>
        <w:jc w:val="both"/>
        <w:rPr>
          <w:rFonts w:ascii="Calibri" w:eastAsia="SimSun" w:hAnsi="Calibri" w:cs="Calibri"/>
          <w:bCs/>
          <w:color w:val="00000A"/>
          <w:sz w:val="22"/>
          <w:lang w:val="en-US"/>
        </w:rPr>
      </w:pPr>
      <w:r w:rsidRPr="00AD5942">
        <w:rPr>
          <w:rFonts w:ascii="Calibri" w:eastAsia="SimSun" w:hAnsi="Calibri" w:cs="Calibri"/>
          <w:bCs/>
          <w:color w:val="00000A"/>
          <w:sz w:val="22"/>
          <w:lang w:val="en-US"/>
        </w:rPr>
        <w:t xml:space="preserve">Currently not available </w:t>
      </w:r>
    </w:p>
    <w:p w:rsidR="00AD5942" w:rsidRPr="00AD5942" w:rsidRDefault="00AD5942" w:rsidP="00AD5942">
      <w:pPr>
        <w:numPr>
          <w:ilvl w:val="0"/>
          <w:numId w:val="13"/>
        </w:numPr>
        <w:tabs>
          <w:tab w:val="num" w:pos="709"/>
        </w:tabs>
        <w:suppressAutoHyphens/>
        <w:spacing w:after="200" w:line="276" w:lineRule="auto"/>
        <w:ind w:left="709" w:right="-285"/>
        <w:jc w:val="both"/>
        <w:rPr>
          <w:rFonts w:ascii="Calibri" w:eastAsia="SimSun" w:hAnsi="Calibri" w:cs="Calibri"/>
          <w:b/>
          <w:bCs/>
          <w:color w:val="00000A"/>
          <w:sz w:val="22"/>
          <w:lang w:val="en-US"/>
        </w:rPr>
      </w:pPr>
      <w:r w:rsidRPr="00AD5942">
        <w:rPr>
          <w:rFonts w:ascii="Calibri" w:eastAsia="SimSun" w:hAnsi="Calibri" w:cs="Calibri"/>
          <w:b/>
          <w:bCs/>
          <w:color w:val="00000A"/>
          <w:sz w:val="22"/>
          <w:lang w:val="en-US"/>
        </w:rPr>
        <w:t xml:space="preserve">   Is there already a baseline value for 2015? </w:t>
      </w:r>
    </w:p>
    <w:p w:rsidR="00AD5942" w:rsidRPr="00AD5942" w:rsidRDefault="00AD5942" w:rsidP="00AD5942">
      <w:pPr>
        <w:suppressAutoHyphens/>
        <w:spacing w:after="200" w:line="276" w:lineRule="auto"/>
        <w:ind w:right="-285"/>
        <w:jc w:val="both"/>
        <w:rPr>
          <w:rFonts w:ascii="Calibri" w:eastAsia="SimSun" w:hAnsi="Calibri" w:cs="Calibri"/>
          <w:color w:val="00000A"/>
          <w:sz w:val="22"/>
          <w:szCs w:val="22"/>
          <w:lang w:val="en-US"/>
        </w:rPr>
      </w:pPr>
      <w:r w:rsidRPr="00AD5942">
        <w:rPr>
          <w:rFonts w:ascii="Calibri" w:eastAsia="SimSun" w:hAnsi="Calibri" w:cs="Calibri"/>
          <w:bCs/>
          <w:color w:val="00000A"/>
          <w:sz w:val="22"/>
          <w:lang w:val="en-US"/>
        </w:rPr>
        <w:t xml:space="preserve">As indicated, the proposed indicator is new, although the CCRF survey has been including questions on efforts undertaken against IUU fishing.  The new indicator would need a baseline which could be formulated for the next survey period. </w:t>
      </w:r>
    </w:p>
    <w:bookmarkStart w:id="3" w:name="Target_14_7"/>
    <w:p w:rsidR="00AD5942" w:rsidRPr="00AD5942" w:rsidRDefault="00AD5942" w:rsidP="00AD5942">
      <w:pPr>
        <w:pageBreakBefore/>
        <w:shd w:val="clear" w:color="auto" w:fill="002060"/>
        <w:spacing w:after="200" w:line="276" w:lineRule="auto"/>
        <w:ind w:right="-285"/>
        <w:jc w:val="center"/>
        <w:outlineLvl w:val="0"/>
        <w:rPr>
          <w:rFonts w:ascii="Calibri" w:eastAsia="SimSun" w:hAnsi="Calibri"/>
          <w:b/>
          <w:color w:val="FFFFFF"/>
        </w:rPr>
      </w:pPr>
      <w:r w:rsidRPr="00AD5942">
        <w:rPr>
          <w:rFonts w:eastAsia="SimSun" w:cs="Calibri"/>
          <w:color w:val="FFFFFF"/>
          <w:szCs w:val="22"/>
        </w:rPr>
        <w:lastRenderedPageBreak/>
        <w:fldChar w:fldCharType="begin"/>
      </w:r>
      <w:r w:rsidRPr="00AD5942">
        <w:rPr>
          <w:rFonts w:eastAsia="SimSun" w:cs="Calibri"/>
          <w:color w:val="FFFFFF"/>
          <w:szCs w:val="22"/>
        </w:rPr>
        <w:instrText>HYPERLINK \l "List_of_indicators"</w:instrText>
      </w:r>
      <w:r w:rsidRPr="00AD5942">
        <w:rPr>
          <w:rFonts w:eastAsia="SimSun" w:cs="Calibri"/>
          <w:color w:val="FFFFFF"/>
          <w:szCs w:val="22"/>
        </w:rPr>
        <w:fldChar w:fldCharType="separate"/>
      </w:r>
      <w:r w:rsidRPr="00AD5942">
        <w:rPr>
          <w:rFonts w:ascii="Calibri" w:eastAsia="SimSun" w:hAnsi="Calibri"/>
          <w:b/>
          <w:color w:val="FFFFFF"/>
          <w:u w:val="single"/>
        </w:rPr>
        <w:t xml:space="preserve">Target </w:t>
      </w:r>
      <w:r w:rsidRPr="00AD5942">
        <w:rPr>
          <w:rFonts w:eastAsia="SimSun" w:cs="Calibri"/>
          <w:color w:val="FFFFFF"/>
          <w:szCs w:val="22"/>
        </w:rPr>
        <w:fldChar w:fldCharType="end"/>
      </w:r>
      <w:r w:rsidRPr="00AD5942">
        <w:rPr>
          <w:rFonts w:ascii="Calibri" w:eastAsia="SimSun" w:hAnsi="Calibri"/>
          <w:b/>
          <w:color w:val="FFFFFF"/>
          <w:u w:val="single"/>
          <w:shd w:val="clear" w:color="auto" w:fill="002060"/>
        </w:rPr>
        <w:t>14.7</w:t>
      </w:r>
      <w:r w:rsidRPr="00AD5942">
        <w:rPr>
          <w:rFonts w:ascii="Calibri" w:eastAsia="SimSun" w:hAnsi="Calibri"/>
          <w:b/>
          <w:color w:val="FFFFFF"/>
        </w:rPr>
        <w:t xml:space="preserve"> </w:t>
      </w:r>
      <w:r w:rsidRPr="00AD5942">
        <w:rPr>
          <w:rFonts w:ascii="Calibri" w:eastAsia="SimSun" w:hAnsi="Calibri"/>
          <w:b/>
          <w:color w:val="FFFFFF"/>
        </w:rPr>
        <w:br/>
      </w:r>
      <w:bookmarkEnd w:id="3"/>
      <w:r w:rsidRPr="00AD5942">
        <w:rPr>
          <w:rFonts w:ascii="Calibri" w:eastAsia="SimSun" w:hAnsi="Calibri"/>
          <w:b/>
          <w:color w:val="FFFFFF"/>
        </w:rPr>
        <w:t>“By 2030, increase the economic benefits to Small Island developing States and least developed countries from the sustainable use of marine resources, including through sustainable management of fisheries, aquaculture and tourism”</w:t>
      </w:r>
    </w:p>
    <w:p w:rsidR="00AD5942" w:rsidRPr="00AD5942" w:rsidRDefault="00AD5942" w:rsidP="00AD5942">
      <w:pPr>
        <w:shd w:val="clear" w:color="auto" w:fill="FFFFFF"/>
        <w:spacing w:after="200" w:line="276" w:lineRule="auto"/>
        <w:ind w:right="-285"/>
        <w:jc w:val="center"/>
        <w:rPr>
          <w:rFonts w:ascii="Calibri" w:eastAsia="SimSun" w:hAnsi="Calibri"/>
          <w:color w:val="auto"/>
        </w:rPr>
      </w:pPr>
    </w:p>
    <w:bookmarkStart w:id="4" w:name="Indicator_14_7_1"/>
    <w:p w:rsidR="00AD5942" w:rsidRPr="00AD5942" w:rsidRDefault="00AD5942" w:rsidP="00AD5942">
      <w:pPr>
        <w:shd w:val="clear" w:color="auto" w:fill="99FF99"/>
        <w:spacing w:after="200" w:line="276" w:lineRule="auto"/>
        <w:ind w:right="-285"/>
        <w:jc w:val="center"/>
        <w:rPr>
          <w:rFonts w:ascii="Calibri" w:eastAsia="SimSun" w:hAnsi="Calibri"/>
          <w:b/>
          <w:color w:val="auto"/>
        </w:rPr>
      </w:pPr>
      <w:r w:rsidRPr="00AD5942">
        <w:rPr>
          <w:rFonts w:eastAsia="SimSun" w:cs="Calibri"/>
          <w:color w:val="auto"/>
          <w:szCs w:val="22"/>
        </w:rPr>
        <w:fldChar w:fldCharType="begin"/>
      </w:r>
      <w:r w:rsidRPr="00AD5942">
        <w:rPr>
          <w:rFonts w:eastAsia="SimSun" w:cs="Calibri"/>
          <w:color w:val="auto"/>
          <w:szCs w:val="22"/>
        </w:rPr>
        <w:instrText>HYPERLINK \l "List_of_indicators"</w:instrText>
      </w:r>
      <w:r w:rsidRPr="00AD5942">
        <w:rPr>
          <w:rFonts w:eastAsia="SimSun" w:cs="Calibri"/>
          <w:color w:val="auto"/>
          <w:szCs w:val="22"/>
        </w:rPr>
        <w:fldChar w:fldCharType="separate"/>
      </w:r>
      <w:r w:rsidRPr="00AD5942">
        <w:rPr>
          <w:rFonts w:ascii="Calibri" w:eastAsia="SimSun" w:hAnsi="Calibri"/>
          <w:b/>
          <w:color w:val="auto"/>
        </w:rPr>
        <w:t>Indicator 14.7.1</w:t>
      </w:r>
      <w:r w:rsidRPr="00AD5942">
        <w:rPr>
          <w:rFonts w:eastAsia="SimSun" w:cs="Calibri"/>
          <w:color w:val="auto"/>
          <w:szCs w:val="22"/>
        </w:rPr>
        <w:fldChar w:fldCharType="end"/>
      </w:r>
      <w:r w:rsidRPr="00AD5942">
        <w:rPr>
          <w:rFonts w:ascii="Calibri" w:eastAsia="SimSun" w:hAnsi="Calibri"/>
          <w:b/>
          <w:color w:val="auto"/>
        </w:rPr>
        <w:t xml:space="preserve"> (</w:t>
      </w:r>
      <w:bookmarkEnd w:id="4"/>
      <w:r w:rsidRPr="00AD5942">
        <w:rPr>
          <w:rFonts w:ascii="Calibri" w:eastAsia="SimSun" w:hAnsi="Calibri"/>
          <w:b/>
          <w:color w:val="auto"/>
        </w:rPr>
        <w:t>Additional</w:t>
      </w:r>
      <w:proofErr w:type="gramStart"/>
      <w:r w:rsidRPr="00AD5942">
        <w:rPr>
          <w:rFonts w:ascii="Calibri" w:eastAsia="SimSun" w:hAnsi="Calibri"/>
          <w:b/>
          <w:color w:val="auto"/>
        </w:rPr>
        <w:t>)</w:t>
      </w:r>
      <w:proofErr w:type="gramEnd"/>
      <w:r w:rsidRPr="00AD5942">
        <w:rPr>
          <w:rFonts w:ascii="Calibri" w:eastAsia="SimSun" w:hAnsi="Calibri"/>
          <w:b/>
          <w:color w:val="auto"/>
        </w:rPr>
        <w:br/>
        <w:t>“</w:t>
      </w:r>
      <w:r w:rsidRPr="00AD5942">
        <w:rPr>
          <w:rFonts w:ascii="Calibri" w:eastAsia="SimSun" w:hAnsi="Calibri"/>
          <w:color w:val="auto"/>
        </w:rPr>
        <w:t>Productivity of aquaculture in utilizing natural resources (land, water and wild stock)</w:t>
      </w:r>
      <w:r w:rsidRPr="00AD5942">
        <w:rPr>
          <w:rFonts w:ascii="Calibri" w:eastAsia="SimSun" w:hAnsi="Calibri"/>
          <w:b/>
          <w:color w:val="auto"/>
        </w:rPr>
        <w:t>”</w:t>
      </w:r>
    </w:p>
    <w:p w:rsidR="00AD5942" w:rsidRPr="00AD5942" w:rsidRDefault="00AD5942" w:rsidP="00AD5942">
      <w:pPr>
        <w:spacing w:after="200" w:line="276" w:lineRule="auto"/>
        <w:ind w:left="720" w:right="-285"/>
        <w:jc w:val="both"/>
        <w:rPr>
          <w:rFonts w:ascii="Calibri" w:eastAsia="SimSun" w:hAnsi="Calibri"/>
          <w:b/>
          <w:bCs/>
          <w:color w:val="auto"/>
          <w:sz w:val="22"/>
          <w:szCs w:val="22"/>
          <w:lang w:eastAsia="en-GB"/>
        </w:rPr>
      </w:pPr>
    </w:p>
    <w:p w:rsidR="00AD5942" w:rsidRPr="00AD5942" w:rsidRDefault="00AD5942" w:rsidP="00AD5942">
      <w:pPr>
        <w:numPr>
          <w:ilvl w:val="0"/>
          <w:numId w:val="2"/>
        </w:numPr>
        <w:suppressAutoHyphens/>
        <w:spacing w:after="200" w:line="276" w:lineRule="auto"/>
        <w:ind w:right="-285"/>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 xml:space="preserve">What is the </w:t>
      </w:r>
      <w:r w:rsidRPr="00AD5942">
        <w:rPr>
          <w:rFonts w:ascii="Calibri" w:eastAsia="SimSun" w:hAnsi="Calibri"/>
          <w:b/>
          <w:bCs/>
          <w:i/>
          <w:iCs/>
          <w:color w:val="auto"/>
          <w:sz w:val="22"/>
          <w:szCs w:val="22"/>
          <w:lang w:eastAsia="en-GB"/>
        </w:rPr>
        <w:t>precise</w:t>
      </w:r>
      <w:r w:rsidRPr="00AD5942">
        <w:rPr>
          <w:rFonts w:ascii="Calibri" w:eastAsia="SimSun" w:hAnsi="Calibri"/>
          <w:b/>
          <w:bCs/>
          <w:color w:val="auto"/>
          <w:sz w:val="22"/>
          <w:szCs w:val="22"/>
          <w:lang w:eastAsia="en-GB"/>
        </w:rPr>
        <w:t xml:space="preserve"> definition of the indicator?</w:t>
      </w:r>
    </w:p>
    <w:p w:rsidR="00AD5942" w:rsidRPr="00AD5942" w:rsidRDefault="00AD5942" w:rsidP="00AD5942">
      <w:pPr>
        <w:spacing w:after="200" w:line="276" w:lineRule="auto"/>
        <w:ind w:right="-285"/>
        <w:jc w:val="both"/>
        <w:rPr>
          <w:rFonts w:ascii="Calibri" w:eastAsia="SimSun" w:hAnsi="Calibri"/>
          <w:bCs/>
          <w:color w:val="auto"/>
          <w:sz w:val="22"/>
          <w:szCs w:val="22"/>
          <w:lang w:eastAsia="en-GB"/>
        </w:rPr>
      </w:pPr>
      <w:r w:rsidRPr="00AD5942">
        <w:rPr>
          <w:rFonts w:ascii="Calibri" w:eastAsia="SimSun" w:hAnsi="Calibri"/>
          <w:bCs/>
          <w:color w:val="auto"/>
          <w:sz w:val="22"/>
          <w:szCs w:val="22"/>
          <w:lang w:eastAsia="en-GB"/>
        </w:rPr>
        <w:t xml:space="preserve">The indicator </w:t>
      </w:r>
      <w:r w:rsidRPr="00AD5942">
        <w:rPr>
          <w:rFonts w:ascii="Calibri" w:eastAsia="SimSun" w:hAnsi="Calibri"/>
          <w:b/>
          <w:bCs/>
          <w:color w:val="auto"/>
          <w:sz w:val="22"/>
          <w:szCs w:val="22"/>
          <w:lang w:eastAsia="en-GB"/>
        </w:rPr>
        <w:t xml:space="preserve">“Productivity of aquaculture in utilizing natural resources (land, water and wild stock)” </w:t>
      </w:r>
      <w:r w:rsidRPr="00AD5942">
        <w:rPr>
          <w:rFonts w:ascii="Calibri" w:eastAsia="SimSun" w:hAnsi="Calibri"/>
          <w:bCs/>
          <w:color w:val="auto"/>
          <w:sz w:val="22"/>
          <w:szCs w:val="22"/>
          <w:lang w:eastAsia="en-GB"/>
        </w:rPr>
        <w:t>is to provide for a measure the of the productivity of the aquaculture production process, and is defined as the</w:t>
      </w:r>
      <w:r w:rsidRPr="00AD5942">
        <w:rPr>
          <w:rFonts w:ascii="Calibri" w:eastAsia="SimSun" w:hAnsi="Calibri"/>
          <w:bCs/>
          <w:i/>
          <w:color w:val="auto"/>
          <w:sz w:val="22"/>
          <w:szCs w:val="22"/>
          <w:lang w:eastAsia="en-GB"/>
        </w:rPr>
        <w:t xml:space="preserve"> </w:t>
      </w:r>
      <w:r w:rsidRPr="00AD5942">
        <w:rPr>
          <w:rFonts w:ascii="Calibri" w:eastAsia="SimSun" w:hAnsi="Calibri"/>
          <w:bCs/>
          <w:color w:val="auto"/>
          <w:sz w:val="22"/>
          <w:szCs w:val="22"/>
          <w:lang w:eastAsia="en-GB"/>
        </w:rPr>
        <w:t>value and</w:t>
      </w:r>
      <w:r w:rsidRPr="00AD5942">
        <w:rPr>
          <w:rFonts w:ascii="Calibri" w:eastAsia="SimSun" w:hAnsi="Calibri"/>
          <w:bCs/>
          <w:i/>
          <w:color w:val="auto"/>
          <w:sz w:val="22"/>
          <w:szCs w:val="22"/>
          <w:lang w:eastAsia="en-GB"/>
        </w:rPr>
        <w:t xml:space="preserve"> </w:t>
      </w:r>
      <w:r w:rsidRPr="00AD5942">
        <w:rPr>
          <w:rFonts w:ascii="Calibri" w:eastAsia="SimSun" w:hAnsi="Calibri"/>
          <w:color w:val="auto"/>
          <w:sz w:val="22"/>
          <w:szCs w:val="22"/>
          <w:lang w:eastAsia="en-GB"/>
        </w:rPr>
        <w:t>volume of aquaculture production per unit amount of natural resource utilized in the aquaculture production process</w:t>
      </w:r>
      <w:r w:rsidRPr="00AD5942">
        <w:rPr>
          <w:rFonts w:ascii="Calibri" w:eastAsia="SimSun" w:hAnsi="Calibri"/>
          <w:bCs/>
          <w:color w:val="auto"/>
          <w:sz w:val="22"/>
          <w:szCs w:val="22"/>
          <w:lang w:eastAsia="en-GB"/>
        </w:rPr>
        <w:t xml:space="preserve">. </w:t>
      </w:r>
    </w:p>
    <w:p w:rsidR="00AD5942" w:rsidRPr="00AD5942" w:rsidRDefault="00AD5942" w:rsidP="00AD5942">
      <w:pPr>
        <w:spacing w:after="200" w:line="276" w:lineRule="auto"/>
        <w:ind w:right="-285"/>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Dimensions:</w:t>
      </w:r>
    </w:p>
    <w:p w:rsidR="00AD5942" w:rsidRPr="00AD5942" w:rsidRDefault="00AD5942" w:rsidP="00AD5942">
      <w:pPr>
        <w:spacing w:after="200" w:line="276" w:lineRule="auto"/>
        <w:ind w:right="-285"/>
        <w:jc w:val="both"/>
        <w:rPr>
          <w:rFonts w:ascii="Calibri" w:eastAsia="SimSun" w:hAnsi="Calibri"/>
          <w:bCs/>
          <w:color w:val="auto"/>
          <w:sz w:val="22"/>
          <w:szCs w:val="22"/>
          <w:lang w:eastAsia="en-GB"/>
        </w:rPr>
      </w:pPr>
      <w:r w:rsidRPr="00AD5942">
        <w:rPr>
          <w:rFonts w:ascii="Calibri" w:eastAsia="SimSun" w:hAnsi="Calibri"/>
          <w:b/>
          <w:bCs/>
          <w:color w:val="auto"/>
          <w:sz w:val="22"/>
          <w:szCs w:val="22"/>
          <w:lang w:eastAsia="en-GB"/>
        </w:rPr>
        <w:t>Aquaculture production</w:t>
      </w:r>
      <w:r w:rsidRPr="00AD5942">
        <w:rPr>
          <w:rFonts w:ascii="Calibri" w:eastAsia="SimSun" w:hAnsi="Calibri"/>
          <w:bCs/>
          <w:color w:val="auto"/>
          <w:sz w:val="22"/>
          <w:szCs w:val="22"/>
          <w:lang w:eastAsia="en-GB"/>
        </w:rPr>
        <w:t xml:space="preserve"> in volumes (tons in live weight or live weight equivalent) and first-sale (farm-gate) value (USD x1000). </w:t>
      </w:r>
    </w:p>
    <w:p w:rsidR="00AD5942" w:rsidRPr="00AD5942" w:rsidRDefault="00AD5942" w:rsidP="00AD5942">
      <w:pPr>
        <w:spacing w:after="200" w:line="276" w:lineRule="auto"/>
        <w:ind w:right="-285"/>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Utilized natural resources:</w:t>
      </w:r>
    </w:p>
    <w:p w:rsidR="00AD5942" w:rsidRPr="00AD5942" w:rsidRDefault="00AD5942" w:rsidP="00AD5942">
      <w:pPr>
        <w:numPr>
          <w:ilvl w:val="0"/>
          <w:numId w:val="6"/>
        </w:numPr>
        <w:suppressAutoHyphens/>
        <w:spacing w:after="200" w:line="276" w:lineRule="auto"/>
        <w:ind w:left="709" w:right="-285"/>
        <w:jc w:val="both"/>
        <w:rPr>
          <w:rFonts w:ascii="Calibri" w:eastAsia="SimSun" w:hAnsi="Calibri"/>
          <w:bCs/>
          <w:color w:val="auto"/>
          <w:sz w:val="22"/>
          <w:szCs w:val="22"/>
          <w:lang w:eastAsia="en-GB"/>
        </w:rPr>
      </w:pPr>
      <w:r w:rsidRPr="00AD5942">
        <w:rPr>
          <w:rFonts w:ascii="Calibri" w:eastAsia="SimSun" w:hAnsi="Calibri"/>
          <w:b/>
          <w:bCs/>
          <w:color w:val="auto"/>
          <w:sz w:val="22"/>
          <w:szCs w:val="22"/>
          <w:lang w:eastAsia="en-GB"/>
        </w:rPr>
        <w:t>Land</w:t>
      </w:r>
      <w:r w:rsidRPr="00AD5942">
        <w:rPr>
          <w:rFonts w:ascii="Calibri" w:eastAsia="SimSun" w:hAnsi="Calibri"/>
          <w:bCs/>
          <w:color w:val="auto"/>
          <w:sz w:val="22"/>
          <w:szCs w:val="22"/>
          <w:lang w:eastAsia="en-GB"/>
        </w:rPr>
        <w:t xml:space="preserve"> area (hectares), as land cover, to include both land and inland water surface areas used for production process, including hatchery, nursery, overwintering and out-growing, (e.g. pond, tank or raceway water surface or inland water surface area allocated/licensed for aquaculture operations using cages, pens or other structures) as well as for supporting areas (e.g. pond dikes, water supply and drainage canals and water treatment facilities, etc.). [This corresponds to an aggregated area of 1.3 and 2.1 of SEEA Land Use classification];</w:t>
      </w:r>
      <w:r w:rsidRPr="00AD5942">
        <w:rPr>
          <w:rFonts w:ascii="Calibri" w:eastAsia="SimSun" w:hAnsi="Calibri"/>
          <w:bCs/>
          <w:color w:val="auto"/>
          <w:sz w:val="22"/>
          <w:szCs w:val="22"/>
          <w:lang w:eastAsia="en-GB"/>
        </w:rPr>
        <w:br/>
      </w:r>
      <w:r w:rsidRPr="00AD5942">
        <w:rPr>
          <w:rFonts w:ascii="Calibri" w:eastAsia="SimSun" w:hAnsi="Calibri"/>
          <w:bCs/>
          <w:color w:val="auto"/>
          <w:sz w:val="22"/>
          <w:szCs w:val="22"/>
          <w:lang w:eastAsia="en-GB"/>
        </w:rPr>
        <w:br/>
      </w:r>
      <w:r w:rsidRPr="00AD5942">
        <w:rPr>
          <w:rFonts w:ascii="Calibri" w:eastAsia="SimSun" w:hAnsi="Calibri"/>
          <w:b/>
          <w:bCs/>
          <w:color w:val="auto"/>
          <w:sz w:val="22"/>
          <w:szCs w:val="22"/>
          <w:lang w:eastAsia="en-GB"/>
        </w:rPr>
        <w:t xml:space="preserve">Sea areas </w:t>
      </w:r>
      <w:r w:rsidRPr="00AD5942">
        <w:rPr>
          <w:rFonts w:ascii="Calibri" w:eastAsia="SimSun" w:hAnsi="Calibri"/>
          <w:bCs/>
          <w:color w:val="auto"/>
          <w:sz w:val="22"/>
          <w:szCs w:val="22"/>
          <w:lang w:eastAsia="en-GB"/>
        </w:rPr>
        <w:t>(hectares) allocated/licensed for aquaculture production operations using cages, pens, rafts, stakes, poles, ropes and lines and other structures. [This corresponds to 4.1 and part of 3.1</w:t>
      </w:r>
      <w:r w:rsidRPr="00AD5942">
        <w:rPr>
          <w:rFonts w:ascii="Calibri" w:eastAsia="SimSun" w:hAnsi="Calibri"/>
          <w:color w:val="auto"/>
          <w:sz w:val="22"/>
          <w:szCs w:val="22"/>
          <w:lang w:eastAsia="en-GB"/>
        </w:rPr>
        <w:t xml:space="preserve"> </w:t>
      </w:r>
      <w:r w:rsidRPr="00AD5942">
        <w:rPr>
          <w:rFonts w:ascii="Calibri" w:eastAsia="SimSun" w:hAnsi="Calibri"/>
          <w:bCs/>
          <w:color w:val="auto"/>
          <w:sz w:val="22"/>
          <w:szCs w:val="22"/>
          <w:lang w:eastAsia="en-GB"/>
        </w:rPr>
        <w:t>SEEA Land Use classification, excluding the area of ‘Seabed and intertidal areas’.]</w:t>
      </w:r>
      <w:r w:rsidRPr="00AD5942">
        <w:rPr>
          <w:rFonts w:ascii="Calibri" w:eastAsia="SimSun" w:hAnsi="Calibri"/>
          <w:bCs/>
          <w:color w:val="auto"/>
          <w:sz w:val="22"/>
          <w:szCs w:val="22"/>
          <w:lang w:eastAsia="en-GB"/>
        </w:rPr>
        <w:br/>
      </w:r>
      <w:r w:rsidRPr="00AD5942">
        <w:rPr>
          <w:rFonts w:ascii="Calibri" w:eastAsia="SimSun" w:hAnsi="Calibri"/>
          <w:bCs/>
          <w:color w:val="auto"/>
          <w:sz w:val="22"/>
          <w:szCs w:val="22"/>
          <w:lang w:eastAsia="en-GB"/>
        </w:rPr>
        <w:br/>
      </w:r>
      <w:r w:rsidRPr="00AD5942">
        <w:rPr>
          <w:rFonts w:ascii="Calibri" w:eastAsia="SimSun" w:hAnsi="Calibri"/>
          <w:b/>
          <w:bCs/>
          <w:color w:val="auto"/>
          <w:sz w:val="22"/>
          <w:szCs w:val="22"/>
          <w:lang w:eastAsia="en-GB"/>
        </w:rPr>
        <w:t>Seabed and intertidal areas</w:t>
      </w:r>
      <w:r w:rsidRPr="00AD5942">
        <w:rPr>
          <w:rFonts w:ascii="Calibri" w:eastAsia="SimSun" w:hAnsi="Calibri"/>
          <w:bCs/>
          <w:color w:val="auto"/>
          <w:sz w:val="22"/>
          <w:szCs w:val="22"/>
          <w:lang w:eastAsia="en-GB"/>
        </w:rPr>
        <w:t xml:space="preserve"> (hectares) allocated/licensed for aquaculture production operations (e.g. cultivation of molluscs, sea cucumber and sea urchins, etc., using bottom-sowing, table, bags and baskets and other structures).</w:t>
      </w:r>
      <w:r w:rsidRPr="00AD5942">
        <w:rPr>
          <w:rFonts w:ascii="Calibri" w:eastAsia="SimSun" w:hAnsi="Calibri"/>
          <w:color w:val="auto"/>
          <w:sz w:val="22"/>
          <w:szCs w:val="22"/>
          <w:lang w:eastAsia="en-GB"/>
        </w:rPr>
        <w:t xml:space="preserve"> </w:t>
      </w:r>
      <w:r w:rsidRPr="00AD5942">
        <w:rPr>
          <w:rFonts w:ascii="Calibri" w:eastAsia="SimSun" w:hAnsi="Calibri"/>
          <w:bCs/>
          <w:color w:val="auto"/>
          <w:sz w:val="22"/>
          <w:szCs w:val="22"/>
          <w:lang w:eastAsia="en-GB"/>
        </w:rPr>
        <w:t>[This corresponds to a part of 3.1 of SEEA Land Use classification]</w:t>
      </w:r>
    </w:p>
    <w:p w:rsidR="00AD5942" w:rsidRPr="00AD5942" w:rsidRDefault="00AD5942" w:rsidP="00AD5942">
      <w:pPr>
        <w:spacing w:after="200" w:line="276" w:lineRule="auto"/>
        <w:ind w:right="-285"/>
        <w:rPr>
          <w:rFonts w:ascii="Calibri" w:eastAsia="SimSun" w:hAnsi="Calibri"/>
          <w:color w:val="auto"/>
          <w:sz w:val="22"/>
          <w:szCs w:val="22"/>
          <w:lang w:eastAsia="en-GB"/>
        </w:rPr>
      </w:pPr>
      <w:r w:rsidRPr="00AD5942">
        <w:rPr>
          <w:rFonts w:ascii="Calibri" w:eastAsia="SimSun" w:hAnsi="Calibri"/>
          <w:bCs/>
          <w:color w:val="auto"/>
          <w:sz w:val="22"/>
          <w:szCs w:val="22"/>
          <w:lang w:eastAsia="en-GB"/>
        </w:rPr>
        <w:t xml:space="preserve">Reference should be made to </w:t>
      </w:r>
      <w:proofErr w:type="gramStart"/>
      <w:r w:rsidRPr="00AD5942">
        <w:rPr>
          <w:rFonts w:ascii="Calibri" w:eastAsia="SimSun" w:hAnsi="Calibri"/>
          <w:bCs/>
          <w:color w:val="auto"/>
          <w:sz w:val="22"/>
          <w:szCs w:val="22"/>
          <w:lang w:eastAsia="en-GB"/>
        </w:rPr>
        <w:t xml:space="preserve">the </w:t>
      </w:r>
      <w:r w:rsidRPr="00AD5942">
        <w:rPr>
          <w:rFonts w:ascii="Calibri" w:eastAsia="SimSun" w:hAnsi="Calibri"/>
          <w:color w:val="auto"/>
          <w:sz w:val="22"/>
          <w:szCs w:val="22"/>
          <w:lang w:eastAsia="en-GB"/>
        </w:rPr>
        <w:t xml:space="preserve"> Land</w:t>
      </w:r>
      <w:proofErr w:type="gramEnd"/>
      <w:r w:rsidRPr="00AD5942">
        <w:rPr>
          <w:rFonts w:ascii="Calibri" w:eastAsia="SimSun" w:hAnsi="Calibri"/>
          <w:color w:val="auto"/>
          <w:sz w:val="22"/>
          <w:szCs w:val="22"/>
          <w:lang w:eastAsia="en-GB"/>
        </w:rPr>
        <w:t xml:space="preserve"> use classification of adopted in the System of Environmental-Economic Accounting 2012 – Central Framework ( </w:t>
      </w:r>
      <w:hyperlink r:id="rId8" w:history="1">
        <w:r w:rsidRPr="00AD5942">
          <w:rPr>
            <w:rFonts w:ascii="Calibri" w:eastAsia="SimSun" w:hAnsi="Calibri"/>
            <w:color w:val="auto"/>
            <w:sz w:val="22"/>
            <w:szCs w:val="22"/>
            <w:u w:val="single"/>
            <w:lang w:eastAsia="en-GB"/>
          </w:rPr>
          <w:t xml:space="preserve">http://unstats.un.org/unsd/envaccounting/ </w:t>
        </w:r>
        <w:proofErr w:type="spellStart"/>
        <w:r w:rsidRPr="00AD5942">
          <w:rPr>
            <w:rFonts w:ascii="Calibri" w:eastAsia="SimSun" w:hAnsi="Calibri"/>
            <w:color w:val="auto"/>
            <w:sz w:val="22"/>
            <w:szCs w:val="22"/>
            <w:u w:val="single"/>
            <w:lang w:eastAsia="en-GB"/>
          </w:rPr>
          <w:t>seeaRev</w:t>
        </w:r>
        <w:proofErr w:type="spellEnd"/>
        <w:r w:rsidRPr="00AD5942">
          <w:rPr>
            <w:rFonts w:ascii="Calibri" w:eastAsia="SimSun" w:hAnsi="Calibri"/>
            <w:color w:val="auto"/>
            <w:sz w:val="22"/>
            <w:szCs w:val="22"/>
            <w:u w:val="single"/>
            <w:lang w:eastAsia="en-GB"/>
          </w:rPr>
          <w:t>/SEEA_CF_Final_en.pdf</w:t>
        </w:r>
      </w:hyperlink>
      <w:r w:rsidRPr="00AD5942">
        <w:rPr>
          <w:rFonts w:ascii="Calibri" w:eastAsia="SimSun" w:hAnsi="Calibri"/>
          <w:color w:val="auto"/>
          <w:sz w:val="22"/>
          <w:szCs w:val="22"/>
          <w:lang w:eastAsia="en-GB"/>
        </w:rPr>
        <w:t xml:space="preserve">, relevant classification available at Appendix I-B of pages 289 – 299).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Relevant classifications include: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1.3 – Land used for aquaculture,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2.1 – Inland waters used for aquaculture or holding facilities,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3.1 – Coastal waters used for aquaculture or holding facilities, and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4.1 – EEZ areas used for aquaculture or holding facilities.</w:t>
      </w:r>
    </w:p>
    <w:p w:rsidR="00AD5942" w:rsidRPr="00AD5942" w:rsidRDefault="00AD5942" w:rsidP="00AD5942">
      <w:pPr>
        <w:numPr>
          <w:ilvl w:val="0"/>
          <w:numId w:val="6"/>
        </w:numPr>
        <w:suppressAutoHyphens/>
        <w:spacing w:after="200" w:line="276" w:lineRule="auto"/>
        <w:ind w:right="-285"/>
        <w:jc w:val="both"/>
        <w:rPr>
          <w:rFonts w:ascii="Calibri" w:eastAsia="SimSun" w:hAnsi="Calibri"/>
          <w:color w:val="auto"/>
          <w:sz w:val="22"/>
          <w:szCs w:val="22"/>
          <w:lang w:eastAsia="en-GB"/>
        </w:rPr>
      </w:pPr>
      <w:r w:rsidRPr="00AD5942">
        <w:rPr>
          <w:rFonts w:ascii="Calibri" w:eastAsia="SimSun" w:hAnsi="Calibri"/>
          <w:b/>
          <w:color w:val="auto"/>
          <w:sz w:val="22"/>
          <w:szCs w:val="22"/>
          <w:lang w:eastAsia="en-GB"/>
        </w:rPr>
        <w:t>Water</w:t>
      </w:r>
      <w:r w:rsidRPr="00AD5942">
        <w:rPr>
          <w:rFonts w:ascii="Calibri" w:eastAsia="SimSun" w:hAnsi="Calibri"/>
          <w:color w:val="auto"/>
          <w:sz w:val="22"/>
          <w:szCs w:val="22"/>
          <w:lang w:eastAsia="en-GB"/>
        </w:rPr>
        <w:t xml:space="preserve"> volumes (m</w:t>
      </w:r>
      <w:r w:rsidRPr="00AD5942">
        <w:rPr>
          <w:rFonts w:ascii="Calibri" w:eastAsia="SimSun" w:hAnsi="Calibri"/>
          <w:color w:val="auto"/>
          <w:sz w:val="22"/>
          <w:szCs w:val="22"/>
          <w:vertAlign w:val="superscript"/>
          <w:lang w:eastAsia="en-GB"/>
        </w:rPr>
        <w:t>3</w:t>
      </w:r>
      <w:r w:rsidRPr="00AD5942">
        <w:rPr>
          <w:rFonts w:ascii="Calibri" w:eastAsia="SimSun" w:hAnsi="Calibri"/>
          <w:color w:val="auto"/>
          <w:sz w:val="22"/>
          <w:szCs w:val="22"/>
          <w:lang w:eastAsia="en-GB"/>
        </w:rPr>
        <w:t>) used during production process.</w:t>
      </w:r>
    </w:p>
    <w:p w:rsidR="00AD5942" w:rsidRPr="00AD5942" w:rsidRDefault="00AD5942" w:rsidP="00AD5942">
      <w:pPr>
        <w:numPr>
          <w:ilvl w:val="0"/>
          <w:numId w:val="6"/>
        </w:numPr>
        <w:suppressAutoHyphens/>
        <w:spacing w:after="200" w:line="276" w:lineRule="auto"/>
        <w:ind w:right="-285"/>
        <w:jc w:val="both"/>
        <w:rPr>
          <w:rFonts w:ascii="Calibri" w:eastAsia="SimSun" w:hAnsi="Calibri"/>
          <w:color w:val="auto"/>
          <w:sz w:val="22"/>
          <w:szCs w:val="22"/>
          <w:lang w:eastAsia="en-GB"/>
        </w:rPr>
      </w:pPr>
      <w:r w:rsidRPr="00AD5942">
        <w:rPr>
          <w:rFonts w:ascii="Calibri" w:eastAsia="SimSun" w:hAnsi="Calibri"/>
          <w:b/>
          <w:color w:val="auto"/>
          <w:sz w:val="22"/>
          <w:szCs w:val="22"/>
          <w:lang w:eastAsia="en-GB"/>
        </w:rPr>
        <w:t>Wild stock</w:t>
      </w:r>
      <w:r w:rsidRPr="00AD5942">
        <w:rPr>
          <w:rFonts w:ascii="Calibri" w:eastAsia="SimSun" w:hAnsi="Calibri"/>
          <w:color w:val="auto"/>
          <w:sz w:val="22"/>
          <w:szCs w:val="22"/>
          <w:lang w:eastAsia="en-GB"/>
        </w:rPr>
        <w:t xml:space="preserve">, as fish stocks captured for two main purposes: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w:t>
      </w:r>
      <w:proofErr w:type="spellStart"/>
      <w:r w:rsidRPr="00AD5942">
        <w:rPr>
          <w:rFonts w:ascii="Calibri" w:eastAsia="SimSun" w:hAnsi="Calibri"/>
          <w:color w:val="auto"/>
          <w:sz w:val="22"/>
          <w:szCs w:val="22"/>
          <w:lang w:eastAsia="en-GB"/>
        </w:rPr>
        <w:t>i</w:t>
      </w:r>
      <w:proofErr w:type="spellEnd"/>
      <w:r w:rsidRPr="00AD5942">
        <w:rPr>
          <w:rFonts w:ascii="Calibri" w:eastAsia="SimSun" w:hAnsi="Calibri"/>
          <w:color w:val="auto"/>
          <w:sz w:val="22"/>
          <w:szCs w:val="22"/>
          <w:lang w:eastAsia="en-GB"/>
        </w:rPr>
        <w:t xml:space="preserve">) landed in volumes (tons in live weight or live weight equivalent) for direct use as feed or for reduction as fish meal and fish oil as feed ingredients for fed aquaculture species, and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(ii) </w:t>
      </w:r>
      <w:proofErr w:type="gramStart"/>
      <w:r w:rsidRPr="00AD5942">
        <w:rPr>
          <w:rFonts w:ascii="Calibri" w:eastAsia="SimSun" w:hAnsi="Calibri"/>
          <w:color w:val="auto"/>
          <w:sz w:val="22"/>
          <w:szCs w:val="22"/>
          <w:lang w:eastAsia="en-GB"/>
        </w:rPr>
        <w:t>caught</w:t>
      </w:r>
      <w:proofErr w:type="gramEnd"/>
      <w:r w:rsidRPr="00AD5942">
        <w:rPr>
          <w:rFonts w:ascii="Calibri" w:eastAsia="SimSun" w:hAnsi="Calibri"/>
          <w:color w:val="auto"/>
          <w:sz w:val="22"/>
          <w:szCs w:val="22"/>
          <w:lang w:eastAsia="en-GB"/>
        </w:rPr>
        <w:t xml:space="preserve"> in numbers or volume in tons in live weight for use as seed / stocking materials for aquaculture grow-out facilities (capture-based aquaculture)</w:t>
      </w:r>
    </w:p>
    <w:p w:rsidR="00AD5942" w:rsidRPr="00AD5942" w:rsidRDefault="00AD5942" w:rsidP="00AD5942">
      <w:pPr>
        <w:numPr>
          <w:ilvl w:val="0"/>
          <w:numId w:val="3"/>
        </w:numPr>
        <w:suppressAutoHyphens/>
        <w:spacing w:after="200" w:line="276" w:lineRule="auto"/>
        <w:ind w:right="-285"/>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How is the indicator linked to the specific TARGET as worded in the OWG Report?</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Target 14.7 implies that economic benefits can be derived from the sustainable use of marine resources, including through aquaculture. In fact aquaculture can generate economic benefits, and increase in aquaculture production can increase economic benefits. Increases in aquaculture productivity can further contribute to economic benefits when the natural resources are utilized more efficiently, i.e. when aquaculture yield is enhanced while the use of natural resources is better managed.</w:t>
      </w:r>
    </w:p>
    <w:p w:rsidR="00AD5942" w:rsidRPr="00AD5942" w:rsidRDefault="00AD5942" w:rsidP="00AD5942">
      <w:pPr>
        <w:numPr>
          <w:ilvl w:val="0"/>
          <w:numId w:val="4"/>
        </w:numPr>
        <w:suppressAutoHyphens/>
        <w:spacing w:after="200" w:line="276" w:lineRule="auto"/>
        <w:ind w:right="-285"/>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Does the indicator already exist and is it regularly reported?</w:t>
      </w:r>
    </w:p>
    <w:p w:rsidR="00AD5942" w:rsidRPr="00AD5942" w:rsidRDefault="00AD5942" w:rsidP="00AD5942">
      <w:pPr>
        <w:spacing w:after="200" w:line="276" w:lineRule="auto"/>
        <w:ind w:right="-285"/>
        <w:jc w:val="both"/>
        <w:rPr>
          <w:rFonts w:ascii="Calibri" w:eastAsia="SimSun" w:hAnsi="Calibri"/>
          <w:bCs/>
          <w:color w:val="auto"/>
          <w:sz w:val="22"/>
          <w:szCs w:val="22"/>
          <w:lang w:eastAsia="en-GB"/>
        </w:rPr>
      </w:pPr>
      <w:r w:rsidRPr="00AD5942">
        <w:rPr>
          <w:rFonts w:ascii="Calibri" w:eastAsia="SimSun" w:hAnsi="Calibri"/>
          <w:bCs/>
          <w:color w:val="auto"/>
          <w:sz w:val="22"/>
          <w:szCs w:val="22"/>
          <w:lang w:eastAsia="en-GB"/>
        </w:rPr>
        <w:t>FAO collects statistical data globally on aquaculture grow-out production (production volumes and values), seed production (in numbers), and surface areas covered (hectares) and volumes (m</w:t>
      </w:r>
      <w:r w:rsidRPr="00AD5942">
        <w:rPr>
          <w:rFonts w:ascii="Calibri" w:eastAsia="SimSun" w:hAnsi="Calibri"/>
          <w:bCs/>
          <w:color w:val="auto"/>
          <w:sz w:val="22"/>
          <w:szCs w:val="22"/>
          <w:vertAlign w:val="superscript"/>
          <w:lang w:eastAsia="en-GB"/>
        </w:rPr>
        <w:t>3</w:t>
      </w:r>
      <w:r w:rsidRPr="00AD5942">
        <w:rPr>
          <w:rFonts w:ascii="Calibri" w:eastAsia="SimSun" w:hAnsi="Calibri"/>
          <w:bCs/>
          <w:color w:val="auto"/>
          <w:sz w:val="22"/>
          <w:szCs w:val="22"/>
          <w:lang w:eastAsia="en-GB"/>
        </w:rPr>
        <w:t xml:space="preserve">) of cages and raceway used by aquaculture operations. However, only aquaculture grow-out production volumes and values are published annually, while other compiled data sets (i.e. surface areas covered and volumes of cages and raceways and seed production, as submitted by members) have been utilized only for the internal analysis, e.g. for SOFIA, due to significant problems in quality and  coverage of reported data, and rather low reporting rates.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bCs/>
          <w:color w:val="auto"/>
          <w:sz w:val="22"/>
          <w:szCs w:val="22"/>
          <w:lang w:eastAsia="en-GB"/>
        </w:rPr>
        <w:t xml:space="preserve">It is emphasized that FAO has </w:t>
      </w:r>
      <w:r w:rsidRPr="00AD5942">
        <w:rPr>
          <w:rFonts w:ascii="Calibri" w:eastAsia="SimSun" w:hAnsi="Calibri"/>
          <w:color w:val="auto"/>
          <w:sz w:val="22"/>
          <w:szCs w:val="22"/>
          <w:lang w:eastAsia="en-GB"/>
        </w:rPr>
        <w:t>data sets for areas (including both land and water surface areas; N.B. hectares or m</w:t>
      </w:r>
      <w:r w:rsidRPr="00AD5942">
        <w:rPr>
          <w:rFonts w:ascii="Calibri" w:eastAsia="SimSun" w:hAnsi="Calibri"/>
          <w:color w:val="auto"/>
          <w:sz w:val="22"/>
          <w:szCs w:val="22"/>
          <w:vertAlign w:val="superscript"/>
          <w:lang w:eastAsia="en-GB"/>
        </w:rPr>
        <w:t>2</w:t>
      </w:r>
      <w:r w:rsidRPr="00AD5942">
        <w:rPr>
          <w:rFonts w:ascii="Calibri" w:eastAsia="SimSun" w:hAnsi="Calibri"/>
          <w:color w:val="auto"/>
          <w:sz w:val="22"/>
          <w:szCs w:val="22"/>
          <w:lang w:eastAsia="en-GB"/>
        </w:rPr>
        <w:t xml:space="preserve">) covered by aquaculture, as reported to FAO, although </w:t>
      </w:r>
      <w:r w:rsidRPr="00AD5942">
        <w:rPr>
          <w:rFonts w:ascii="Calibri" w:eastAsia="SimSun" w:hAnsi="Calibri"/>
          <w:color w:val="auto"/>
          <w:sz w:val="22"/>
          <w:szCs w:val="22"/>
          <w:u w:val="single"/>
          <w:lang w:eastAsia="en-GB"/>
        </w:rPr>
        <w:t>these data sets are not yet complete</w:t>
      </w:r>
      <w:r w:rsidRPr="00AD5942">
        <w:rPr>
          <w:rFonts w:ascii="Calibri" w:eastAsia="SimSun" w:hAnsi="Calibri"/>
          <w:color w:val="auto"/>
          <w:sz w:val="22"/>
          <w:szCs w:val="22"/>
          <w:lang w:eastAsia="en-GB"/>
        </w:rPr>
        <w:t xml:space="preserve"> and not yet available for publication/distribution. Progress is being made with compilation and presentation of area coverage data, and may be published in foreseeable future.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In comparison to such land cover data, data on aquaculture water use (i.e. volumes of water; N.B. km</w:t>
      </w:r>
      <w:r w:rsidRPr="00AD5942">
        <w:rPr>
          <w:rFonts w:ascii="Calibri" w:eastAsia="SimSun" w:hAnsi="Calibri"/>
          <w:color w:val="auto"/>
          <w:sz w:val="22"/>
          <w:szCs w:val="22"/>
          <w:vertAlign w:val="superscript"/>
          <w:lang w:eastAsia="en-GB"/>
        </w:rPr>
        <w:t>3</w:t>
      </w:r>
      <w:r w:rsidRPr="00AD5942">
        <w:rPr>
          <w:rFonts w:ascii="Calibri" w:eastAsia="SimSun" w:hAnsi="Calibri"/>
          <w:color w:val="auto"/>
          <w:sz w:val="22"/>
          <w:szCs w:val="22"/>
          <w:lang w:eastAsia="en-GB"/>
        </w:rPr>
        <w:t xml:space="preserve"> or litres) are much more complex and much more difficult to obtain by and from most members. Therefore, many of the countries as well as FAO would as yet </w:t>
      </w:r>
      <w:r w:rsidRPr="00AD5942">
        <w:rPr>
          <w:rFonts w:ascii="Calibri" w:eastAsia="SimSun" w:hAnsi="Calibri"/>
          <w:color w:val="auto"/>
          <w:sz w:val="22"/>
          <w:szCs w:val="22"/>
          <w:u w:val="single"/>
          <w:lang w:eastAsia="en-GB"/>
        </w:rPr>
        <w:t>not be able to report and present data on water use in aquaculture</w:t>
      </w:r>
      <w:r w:rsidRPr="00AD5942">
        <w:rPr>
          <w:rFonts w:ascii="Calibri" w:eastAsia="SimSun" w:hAnsi="Calibri"/>
          <w:color w:val="auto"/>
          <w:sz w:val="22"/>
          <w:szCs w:val="22"/>
          <w:lang w:eastAsia="en-GB"/>
        </w:rPr>
        <w:t xml:space="preserve">.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lastRenderedPageBreak/>
        <w:t xml:space="preserve">FAO has collected some information on seed collected from wild or produced for aquaculture purposes but these data are still in development. While FAO regularly collects information on amount of fish utilized for fish meals/ fish oil manufacturing, no information is available on a proportion to be used for aquaculture. Similarly, no systematic data is available for amount of trash fish and other wild fish being captured and directly fed for aquaculture grow-out purposes. FAO does not regularly collect data on aquaculture feeds and related </w:t>
      </w:r>
      <w:proofErr w:type="gramStart"/>
      <w:r w:rsidRPr="00AD5942">
        <w:rPr>
          <w:rFonts w:ascii="Calibri" w:eastAsia="SimSun" w:hAnsi="Calibri"/>
          <w:color w:val="auto"/>
          <w:sz w:val="22"/>
          <w:szCs w:val="22"/>
          <w:lang w:eastAsia="en-GB"/>
        </w:rPr>
        <w:t>ingredients,</w:t>
      </w:r>
      <w:proofErr w:type="gramEnd"/>
      <w:r w:rsidRPr="00AD5942">
        <w:rPr>
          <w:rFonts w:ascii="Calibri" w:eastAsia="SimSun" w:hAnsi="Calibri"/>
          <w:color w:val="auto"/>
          <w:sz w:val="22"/>
          <w:szCs w:val="22"/>
          <w:lang w:eastAsia="en-GB"/>
        </w:rPr>
        <w:t xml:space="preserve"> as such data are not regularly supplied by national statistical offices. However, reviews of aquaculture feeds and fertilizer uses and sources of feed ingredients are being undertaken by FAO and other institutions and organizations. Such reviews provide information on e.g. use of fish meal and fish oil for aquaculture feeds. For example, IFFO – the Marine Ingredients Organization (iffo.net), representing industry interests, publishes opinion papers and research report on these aspects but does not regularly issue related data sets.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In conclusion, the </w:t>
      </w:r>
      <w:r w:rsidRPr="00AD5942">
        <w:rPr>
          <w:rFonts w:ascii="Calibri" w:eastAsia="SimSun" w:hAnsi="Calibri"/>
          <w:color w:val="auto"/>
          <w:sz w:val="22"/>
          <w:szCs w:val="22"/>
          <w:u w:val="single"/>
          <w:lang w:eastAsia="en-GB"/>
        </w:rPr>
        <w:t>proposed aquaculture productivity indicator has not yet been established as a standard and readily available indicator</w:t>
      </w:r>
      <w:r w:rsidRPr="00AD5942">
        <w:rPr>
          <w:rFonts w:ascii="Calibri" w:eastAsia="SimSun" w:hAnsi="Calibri"/>
          <w:color w:val="auto"/>
          <w:sz w:val="22"/>
          <w:szCs w:val="22"/>
          <w:lang w:eastAsia="en-GB"/>
        </w:rPr>
        <w:t xml:space="preserve">. While data on aquaculture production are regularly provided by members, data sets on the use of natural resources in aquaculture are still being developed, with coverage and quality of data on land area use being much more advanced than water use and use of wild stocks.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FAO/FI continues to successfully enhance the database on land area use in aquaculture while data coverage is still insufficient for many countries, including some major producing countries. Data sets on aquaculture water use and wild-seed collection would require additional substantial investments in most countries. Collection of data on aquaculture feeds would need to be evaluated for feasibility and cost implications both in member countries and in FAO.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In order to make this indicator comparable among countries as well as among economic benefits obtained by other sectors by utilizing natural resources, it is important to establish direct links with the SEEA Central Framework. The SEEA Central Framework already integrated the natural resources in concern here, i.e. water, land and aquatic biological resources.  The Coordinating Working Party on Fisheries Statistics (CWP) adopted the standard requirement for aquaculture statistics in 2013 that include the reporting of seeds and feeds and define a format of their measures.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Currently, FAO’s aquaculture questionnaire, as dispatched annually to national reporting offices, does include entries for use/coverage of land (hectares) and use of freshwater (m</w:t>
      </w:r>
      <w:r w:rsidRPr="00AD5942">
        <w:rPr>
          <w:rFonts w:ascii="Calibri" w:eastAsia="SimSun" w:hAnsi="Calibri"/>
          <w:color w:val="auto"/>
          <w:sz w:val="22"/>
          <w:szCs w:val="22"/>
          <w:vertAlign w:val="superscript"/>
          <w:lang w:eastAsia="en-GB"/>
        </w:rPr>
        <w:t>3</w:t>
      </w:r>
      <w:r w:rsidRPr="00AD5942">
        <w:rPr>
          <w:rFonts w:ascii="Calibri" w:eastAsia="SimSun" w:hAnsi="Calibri"/>
          <w:color w:val="auto"/>
          <w:sz w:val="22"/>
          <w:szCs w:val="22"/>
          <w:lang w:eastAsia="en-GB"/>
        </w:rPr>
        <w:t xml:space="preserve">) for some aquaculture systems. However, response by member countries statistical offices as well as in-house capacities for collection and management of such data sets continue to need substantial support.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Research on feasibility and costs of collection of data on seed production, capture-based aquaculture, and fisheries-based aquaculture feeds would need to be planned and would need to be funded most likely with additional resources, if made available. </w:t>
      </w:r>
    </w:p>
    <w:p w:rsidR="00AD5942" w:rsidRPr="00AD5942" w:rsidRDefault="00AD5942" w:rsidP="00AD5942">
      <w:pPr>
        <w:numPr>
          <w:ilvl w:val="0"/>
          <w:numId w:val="4"/>
        </w:numPr>
        <w:suppressAutoHyphens/>
        <w:spacing w:after="200" w:line="276" w:lineRule="auto"/>
        <w:ind w:right="-285"/>
        <w:contextualSpacing/>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Comment on the reliability, potential coverage, comparability across countries, and the possibility to compute the indicator at sub-national level.</w:t>
      </w:r>
    </w:p>
    <w:p w:rsidR="00AD5942" w:rsidRPr="00AD5942" w:rsidRDefault="00AD5942" w:rsidP="00AD5942">
      <w:pPr>
        <w:spacing w:line="276" w:lineRule="auto"/>
        <w:ind w:left="720" w:right="-285"/>
        <w:contextualSpacing/>
        <w:jc w:val="both"/>
        <w:rPr>
          <w:rFonts w:ascii="Calibri" w:eastAsia="SimSun" w:hAnsi="Calibri"/>
          <w:b/>
          <w:bCs/>
          <w:color w:val="auto"/>
          <w:sz w:val="22"/>
          <w:szCs w:val="22"/>
          <w:lang w:eastAsia="en-GB"/>
        </w:rPr>
      </w:pPr>
    </w:p>
    <w:p w:rsidR="00AD5942" w:rsidRPr="00AD5942" w:rsidRDefault="00AD5942" w:rsidP="00AD5942">
      <w:pPr>
        <w:spacing w:after="200" w:line="276" w:lineRule="auto"/>
        <w:ind w:right="-285"/>
        <w:jc w:val="both"/>
        <w:rPr>
          <w:rFonts w:ascii="Calibri" w:eastAsia="SimSun" w:hAnsi="Calibri"/>
          <w:color w:val="auto"/>
          <w:sz w:val="22"/>
          <w:szCs w:val="22"/>
          <w:u w:val="single"/>
          <w:lang w:eastAsia="en-GB"/>
        </w:rPr>
      </w:pPr>
      <w:r w:rsidRPr="00AD5942">
        <w:rPr>
          <w:rFonts w:ascii="Calibri" w:eastAsia="SimSun" w:hAnsi="Calibri"/>
          <w:bCs/>
          <w:iCs/>
          <w:color w:val="auto"/>
          <w:sz w:val="22"/>
          <w:szCs w:val="22"/>
          <w:u w:val="single"/>
          <w:lang w:eastAsia="en-GB"/>
        </w:rPr>
        <w:t>Reliability</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Given significant issues of coverage and quality of presently unpublished data on area coverage by aquaculture, the need to further develop data sets on water use, and the required research on </w:t>
      </w:r>
      <w:r w:rsidRPr="00AD5942">
        <w:rPr>
          <w:rFonts w:ascii="Calibri" w:eastAsia="SimSun" w:hAnsi="Calibri"/>
          <w:color w:val="auto"/>
          <w:sz w:val="22"/>
          <w:szCs w:val="22"/>
          <w:lang w:eastAsia="en-GB"/>
        </w:rPr>
        <w:lastRenderedPageBreak/>
        <w:t xml:space="preserve">feasibility and costs of regularly collecting data on seed production and capture-based aquaculture, let alone fisheries based aquaculture feed production, it appears that the </w:t>
      </w:r>
      <w:r w:rsidRPr="00AD5942">
        <w:rPr>
          <w:rFonts w:ascii="Calibri" w:eastAsia="SimSun" w:hAnsi="Calibri"/>
          <w:color w:val="auto"/>
          <w:sz w:val="22"/>
          <w:szCs w:val="22"/>
          <w:u w:val="single"/>
          <w:lang w:eastAsia="en-GB"/>
        </w:rPr>
        <w:t>proposed indicator would not satisfy expectations on reliability</w:t>
      </w:r>
      <w:r w:rsidRPr="00AD5942">
        <w:rPr>
          <w:rFonts w:ascii="Calibri" w:eastAsia="SimSun" w:hAnsi="Calibri"/>
          <w:color w:val="auto"/>
          <w:sz w:val="22"/>
          <w:szCs w:val="22"/>
          <w:lang w:eastAsia="en-GB"/>
        </w:rPr>
        <w:t xml:space="preserve"> for all parameters.</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However, the proposed indicator specifically on productivity of aquaculture in utilizing land (land water area covered by aquaculture) can satisfy expectations on reliability as long as member countries commit to collect data on land use in aquaculture. </w:t>
      </w:r>
    </w:p>
    <w:p w:rsidR="00AD5942" w:rsidRPr="00AD5942" w:rsidRDefault="00AD5942" w:rsidP="00AD5942">
      <w:pPr>
        <w:spacing w:after="200" w:line="276" w:lineRule="auto"/>
        <w:ind w:right="-285"/>
        <w:jc w:val="both"/>
        <w:rPr>
          <w:rFonts w:ascii="Calibri" w:eastAsia="SimSun" w:hAnsi="Calibri"/>
          <w:color w:val="auto"/>
          <w:sz w:val="22"/>
          <w:szCs w:val="22"/>
          <w:u w:val="single"/>
          <w:lang w:eastAsia="en-GB"/>
        </w:rPr>
      </w:pPr>
      <w:r w:rsidRPr="00AD5942">
        <w:rPr>
          <w:rFonts w:ascii="Calibri" w:eastAsia="SimSun" w:hAnsi="Calibri"/>
          <w:bCs/>
          <w:iCs/>
          <w:color w:val="auto"/>
          <w:sz w:val="22"/>
          <w:szCs w:val="22"/>
          <w:u w:val="single"/>
          <w:lang w:eastAsia="en-GB"/>
        </w:rPr>
        <w:t>Coverage</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Given the above, coverage (geographic, temporal) at this stage cannot be assured for this indicator.</w:t>
      </w:r>
    </w:p>
    <w:p w:rsidR="00AD5942" w:rsidRPr="00AD5942" w:rsidRDefault="00AD5942" w:rsidP="00AD5942">
      <w:pPr>
        <w:spacing w:after="200" w:line="276" w:lineRule="auto"/>
        <w:ind w:right="-285"/>
        <w:jc w:val="both"/>
        <w:rPr>
          <w:rFonts w:ascii="Calibri" w:eastAsia="SimSun" w:hAnsi="Calibri"/>
          <w:color w:val="auto"/>
          <w:sz w:val="22"/>
          <w:szCs w:val="22"/>
          <w:u w:val="single"/>
          <w:lang w:eastAsia="en-GB"/>
        </w:rPr>
      </w:pPr>
      <w:r w:rsidRPr="00AD5942">
        <w:rPr>
          <w:rFonts w:ascii="Calibri" w:eastAsia="SimSun" w:hAnsi="Calibri"/>
          <w:bCs/>
          <w:iCs/>
          <w:color w:val="auto"/>
          <w:sz w:val="22"/>
          <w:szCs w:val="22"/>
          <w:u w:val="single"/>
          <w:lang w:eastAsia="en-GB"/>
        </w:rPr>
        <w:t>Comparability across countries</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Comparability across countries would still need to be researched based on collection of actual data.</w:t>
      </w:r>
    </w:p>
    <w:p w:rsidR="00AD5942" w:rsidRPr="00AD5942" w:rsidRDefault="00AD5942" w:rsidP="00AD5942">
      <w:pPr>
        <w:spacing w:after="200" w:line="276" w:lineRule="auto"/>
        <w:ind w:right="-285"/>
        <w:jc w:val="both"/>
        <w:rPr>
          <w:rFonts w:ascii="Calibri" w:eastAsia="SimSun" w:hAnsi="Calibri"/>
          <w:color w:val="auto"/>
          <w:sz w:val="22"/>
          <w:szCs w:val="22"/>
          <w:u w:val="single"/>
          <w:lang w:eastAsia="en-GB"/>
        </w:rPr>
      </w:pPr>
      <w:r w:rsidRPr="00AD5942">
        <w:rPr>
          <w:rFonts w:ascii="Calibri" w:eastAsia="SimSun" w:hAnsi="Calibri"/>
          <w:bCs/>
          <w:iCs/>
          <w:color w:val="auto"/>
          <w:sz w:val="22"/>
          <w:szCs w:val="22"/>
          <w:u w:val="single"/>
          <w:lang w:eastAsia="en-GB"/>
        </w:rPr>
        <w:t>Sub-national estimates</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Yes, based on some selected data sets, as available primarily for area coverage by aquaculture operations, it would be possible to compute the indicator for productivity over land cover (i.e. aquaculture production per area coverage; tonnes/ha) for specific aquaculture contexts and/or geographical areas. </w:t>
      </w:r>
    </w:p>
    <w:p w:rsidR="00AD5942" w:rsidRPr="00AD5942" w:rsidRDefault="00AD5942" w:rsidP="00AD5942">
      <w:pPr>
        <w:numPr>
          <w:ilvl w:val="0"/>
          <w:numId w:val="5"/>
        </w:numPr>
        <w:suppressAutoHyphens/>
        <w:spacing w:after="200" w:line="276" w:lineRule="auto"/>
        <w:ind w:right="-285"/>
        <w:jc w:val="both"/>
        <w:rPr>
          <w:rFonts w:ascii="Calibri" w:eastAsia="SimSun" w:hAnsi="Calibri"/>
          <w:b/>
          <w:bCs/>
          <w:color w:val="auto"/>
          <w:sz w:val="22"/>
          <w:szCs w:val="22"/>
          <w:lang w:eastAsia="en-GB"/>
        </w:rPr>
      </w:pPr>
      <w:r w:rsidRPr="00AD5942">
        <w:rPr>
          <w:rFonts w:ascii="Calibri" w:eastAsia="SimSun" w:hAnsi="Calibri"/>
          <w:b/>
          <w:bCs/>
          <w:color w:val="auto"/>
          <w:sz w:val="22"/>
          <w:szCs w:val="22"/>
          <w:lang w:eastAsia="en-GB"/>
        </w:rPr>
        <w:t xml:space="preserve">   Is there already a baseline value for 2015?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No, a meaningful numerical target cannot be set for 2030. There is no baseline value for 2015. Most likely, targets would be meaningful if formulated more specifically for aquaculture species groups or commodities. Significant differences exist not only between various aquaculture systems and species utilized, but also for socio-economic, environmental and developmental parameters between countries and regions.</w:t>
      </w:r>
    </w:p>
    <w:p w:rsidR="00AD5942" w:rsidRPr="00AD5942" w:rsidRDefault="00AD5942" w:rsidP="00AD5942">
      <w:pPr>
        <w:spacing w:after="200" w:line="276" w:lineRule="auto"/>
        <w:ind w:right="-285"/>
        <w:jc w:val="both"/>
        <w:rPr>
          <w:rFonts w:ascii="Calibri" w:eastAsia="SimSun" w:hAnsi="Calibri"/>
          <w:b/>
          <w:color w:val="auto"/>
          <w:sz w:val="22"/>
          <w:szCs w:val="22"/>
          <w:lang w:eastAsia="en-GB"/>
        </w:rPr>
      </w:pPr>
      <w:r w:rsidRPr="00AD5942">
        <w:rPr>
          <w:rFonts w:ascii="Calibri" w:eastAsia="SimSun" w:hAnsi="Calibri"/>
          <w:b/>
          <w:color w:val="auto"/>
          <w:sz w:val="22"/>
          <w:szCs w:val="22"/>
          <w:lang w:eastAsia="en-GB"/>
        </w:rPr>
        <w:t xml:space="preserve">Suggestion: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 xml:space="preserve">While the overall indicator A of productivity of aquaculture in utilizing natural resources (if it were to include all: land, water and wild stocks) may not be feasible at this stage, it may well be worth considering a less ambitious, more specific indicator on the productivity of aquaculture in utilizing land area (including water surface area). In case that such a productivity indicator will be presented for targets associated with other agricultural sectors, there would be strong rationale to do the same for aquaculture as well. </w:t>
      </w:r>
    </w:p>
    <w:p w:rsidR="00AD5942" w:rsidRPr="00AD5942" w:rsidRDefault="00AD5942" w:rsidP="00AD5942">
      <w:pPr>
        <w:spacing w:after="200" w:line="276" w:lineRule="auto"/>
        <w:ind w:right="-285"/>
        <w:jc w:val="both"/>
        <w:rPr>
          <w:rFonts w:ascii="Calibri" w:eastAsia="SimSun" w:hAnsi="Calibri"/>
          <w:color w:val="auto"/>
          <w:sz w:val="22"/>
          <w:szCs w:val="22"/>
          <w:lang w:eastAsia="en-GB"/>
        </w:rPr>
      </w:pPr>
      <w:r w:rsidRPr="00AD5942">
        <w:rPr>
          <w:rFonts w:ascii="Calibri" w:eastAsia="SimSun" w:hAnsi="Calibri"/>
          <w:color w:val="auto"/>
          <w:sz w:val="22"/>
          <w:szCs w:val="22"/>
          <w:lang w:eastAsia="en-GB"/>
        </w:rPr>
        <w:t>In such a case, an additional suggestion would be to re-name the proposed indicator, i.e. just to call it: “</w:t>
      </w:r>
      <w:r w:rsidRPr="00AD5942">
        <w:rPr>
          <w:rFonts w:ascii="Calibri" w:eastAsia="SimSun" w:hAnsi="Calibri"/>
          <w:i/>
          <w:color w:val="auto"/>
          <w:sz w:val="22"/>
          <w:szCs w:val="22"/>
          <w:lang w:eastAsia="en-GB"/>
        </w:rPr>
        <w:t>aquaculture productivity indicator</w:t>
      </w:r>
      <w:r w:rsidRPr="00AD5942">
        <w:rPr>
          <w:rFonts w:ascii="Calibri" w:eastAsia="SimSun" w:hAnsi="Calibri"/>
          <w:color w:val="auto"/>
          <w:sz w:val="22"/>
          <w:szCs w:val="22"/>
          <w:lang w:eastAsia="en-GB"/>
        </w:rPr>
        <w:t>” and then in the definitions to clarify that it focuses only on the productivity of aquaculture in utilizing land area (including water surface area).</w:t>
      </w:r>
    </w:p>
    <w:p w:rsidR="00AD5942" w:rsidRPr="00AD5942" w:rsidRDefault="00AD5942" w:rsidP="00AD5942">
      <w:pPr>
        <w:ind w:right="-285"/>
        <w:jc w:val="both"/>
        <w:rPr>
          <w:rFonts w:ascii="Calibri" w:eastAsia="Constantia" w:hAnsi="Calibri" w:cs="Consolas"/>
          <w:b/>
          <w:bCs/>
          <w:color w:val="auto"/>
          <w:sz w:val="28"/>
          <w:szCs w:val="28"/>
        </w:rPr>
      </w:pPr>
      <w:r w:rsidRPr="00AD5942">
        <w:rPr>
          <w:rFonts w:ascii="Calibri" w:eastAsia="SimSun" w:hAnsi="Calibri" w:cs="Calibri"/>
          <w:b/>
          <w:bCs/>
          <w:color w:val="00000A"/>
          <w:sz w:val="28"/>
          <w:szCs w:val="28"/>
        </w:rPr>
        <w:br w:type="page"/>
      </w:r>
    </w:p>
    <w:p w:rsidR="00AD5942" w:rsidRPr="00AD5942" w:rsidRDefault="00AD5942" w:rsidP="00AD5942">
      <w:pPr>
        <w:pageBreakBefore/>
        <w:shd w:val="clear" w:color="auto" w:fill="002060"/>
        <w:spacing w:after="200" w:line="276" w:lineRule="auto"/>
        <w:ind w:right="-285"/>
        <w:jc w:val="center"/>
        <w:outlineLvl w:val="0"/>
        <w:rPr>
          <w:rFonts w:ascii="Calibri" w:eastAsia="SimSun" w:hAnsi="Calibri"/>
          <w:b/>
          <w:color w:val="FFFFFF"/>
        </w:rPr>
      </w:pPr>
      <w:bookmarkStart w:id="5" w:name="Target_14_b"/>
      <w:r w:rsidRPr="00AD5942">
        <w:rPr>
          <w:rFonts w:ascii="Calibri" w:eastAsia="SimSun" w:hAnsi="Calibri"/>
          <w:b/>
          <w:color w:val="FFFFFF"/>
          <w:u w:val="single"/>
        </w:rPr>
        <w:lastRenderedPageBreak/>
        <w:t>Target 14.b</w:t>
      </w:r>
      <w:r w:rsidRPr="00AD5942">
        <w:rPr>
          <w:rFonts w:ascii="Calibri" w:eastAsia="SimSun" w:hAnsi="Calibri"/>
          <w:b/>
          <w:color w:val="FFFFFF"/>
        </w:rPr>
        <w:t xml:space="preserve"> </w:t>
      </w:r>
      <w:bookmarkEnd w:id="5"/>
      <w:r w:rsidRPr="00AD5942">
        <w:rPr>
          <w:rFonts w:ascii="Calibri" w:eastAsia="SimSun" w:hAnsi="Calibri"/>
          <w:b/>
          <w:color w:val="FFFFFF"/>
        </w:rPr>
        <w:br/>
      </w:r>
      <w:r w:rsidRPr="00AD5942">
        <w:rPr>
          <w:rFonts w:ascii="Calibri" w:eastAsia="SimSun" w:hAnsi="Calibri"/>
          <w:color w:val="FFFFFF"/>
        </w:rPr>
        <w:t>“Provide access for small-scale artisanal fishers to marine resources and markets”</w:t>
      </w:r>
    </w:p>
    <w:p w:rsidR="00AD5942" w:rsidRPr="00AD5942" w:rsidRDefault="00AD5942" w:rsidP="00AD5942">
      <w:pPr>
        <w:shd w:val="clear" w:color="auto" w:fill="FFFFFF"/>
        <w:spacing w:after="200" w:line="276" w:lineRule="auto"/>
        <w:ind w:right="-285"/>
        <w:jc w:val="center"/>
        <w:rPr>
          <w:rFonts w:eastAsia="SimSun" w:cs="Calibri"/>
          <w:color w:val="00000A"/>
          <w:szCs w:val="22"/>
        </w:rPr>
      </w:pPr>
    </w:p>
    <w:p w:rsidR="00AD5942" w:rsidRPr="00AD5942" w:rsidRDefault="00AD5942" w:rsidP="00AD5942">
      <w:pPr>
        <w:spacing w:line="276" w:lineRule="auto"/>
        <w:jc w:val="both"/>
        <w:rPr>
          <w:rFonts w:ascii="Calibri" w:eastAsia="SimSun" w:hAnsi="Calibri" w:cs="Calibri"/>
          <w:i/>
          <w:color w:val="00000A"/>
          <w:sz w:val="22"/>
          <w:szCs w:val="22"/>
        </w:rPr>
      </w:pPr>
      <w:r w:rsidRPr="00AD5942">
        <w:rPr>
          <w:rFonts w:ascii="Calibri" w:eastAsia="SimSun" w:hAnsi="Calibri" w:cs="Calibri"/>
          <w:i/>
          <w:color w:val="00000A"/>
          <w:sz w:val="22"/>
          <w:szCs w:val="22"/>
        </w:rPr>
        <w:t xml:space="preserve">During the Sixteenth Meeting of the UN Open-ended informal consultative process on Oceans and the Law of the Sea, April 6-10, member states generally agreed that  the preliminary indicators on small-scale fisheries are deemed inadequate to measure the social dimensions of Target 14.b. Concern was also expressed that the target’s preliminary indicators do not seem to provide a comprehensive monitoring mechanism for the implementation of the FAO’s Voluntary Guidelines for Securing Sustainable Small-Scale Fisheries in the Context of Food Security and Poverty Eradication. In view of these concerns, FAO has proposed two alternative indicators for this target, one focusing on access rights and one focusing on market access. </w:t>
      </w:r>
    </w:p>
    <w:p w:rsidR="00AD5942" w:rsidRPr="00AD5942" w:rsidRDefault="00AD5942" w:rsidP="00AD5942">
      <w:pPr>
        <w:spacing w:line="276" w:lineRule="auto"/>
        <w:jc w:val="both"/>
        <w:rPr>
          <w:rFonts w:ascii="Calibri" w:eastAsia="SimSun" w:hAnsi="Calibri" w:cs="Calibri"/>
          <w:i/>
          <w:color w:val="00000A"/>
          <w:sz w:val="22"/>
          <w:szCs w:val="22"/>
        </w:rPr>
      </w:pPr>
    </w:p>
    <w:p w:rsidR="00AD5942" w:rsidRPr="00AD5942" w:rsidRDefault="00AD5942" w:rsidP="00AD5942">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D5942">
        <w:rPr>
          <w:rFonts w:ascii="Calibri" w:eastAsia="SimSun" w:hAnsi="Calibri"/>
          <w:i/>
          <w:color w:val="00000A"/>
          <w:sz w:val="22"/>
        </w:rPr>
        <w:t>With this in mind, FAO is highly concerned that UNSD’s preliminary list of May determined only one priority indicator for this target. As stated above, target 14.b addresses both access rights and market access, and both elements cannot be subsumed under one sole indicator, and there is no objective reason to assume a prioritization between the two. In FAO’s view, both indicators would thus be necessary to effectively monitor this target.</w:t>
      </w:r>
    </w:p>
    <w:p w:rsidR="00AD5942" w:rsidRPr="00AD5942" w:rsidRDefault="00AD5942" w:rsidP="00AD5942">
      <w:pPr>
        <w:spacing w:line="276" w:lineRule="auto"/>
        <w:jc w:val="both"/>
        <w:rPr>
          <w:rFonts w:ascii="Calibri" w:eastAsia="SimSun" w:hAnsi="Calibri" w:cs="Calibri"/>
          <w:color w:val="00000A"/>
          <w:szCs w:val="22"/>
        </w:rPr>
      </w:pPr>
      <w:r w:rsidRPr="00AD5942">
        <w:rPr>
          <w:rFonts w:ascii="Calibri" w:eastAsia="SimSun" w:hAnsi="Calibri" w:cs="Calibri"/>
          <w:color w:val="00000A"/>
          <w:szCs w:val="22"/>
        </w:rPr>
        <w:br w:type="page"/>
      </w:r>
    </w:p>
    <w:bookmarkStart w:id="6" w:name="Indicator_1_b_1"/>
    <w:bookmarkStart w:id="7" w:name="Indicator_14_b_1"/>
    <w:p w:rsidR="00AD5942" w:rsidRPr="00AD5942" w:rsidRDefault="00AD5942" w:rsidP="00AD5942">
      <w:pPr>
        <w:shd w:val="clear" w:color="auto" w:fill="99FF99"/>
        <w:spacing w:after="200" w:line="276" w:lineRule="auto"/>
        <w:ind w:right="-285"/>
        <w:jc w:val="center"/>
        <w:rPr>
          <w:rFonts w:ascii="Calibri" w:eastAsia="SimSun" w:hAnsi="Calibri"/>
          <w:b/>
          <w:color w:val="auto"/>
        </w:rPr>
      </w:pPr>
      <w:r w:rsidRPr="00AD5942">
        <w:rPr>
          <w:rFonts w:eastAsia="SimSun" w:cs="Calibri"/>
          <w:color w:val="auto"/>
          <w:szCs w:val="22"/>
        </w:rPr>
        <w:lastRenderedPageBreak/>
        <w:fldChar w:fldCharType="begin"/>
      </w:r>
      <w:r w:rsidRPr="00AD5942">
        <w:rPr>
          <w:rFonts w:eastAsia="SimSun" w:cs="Calibri"/>
          <w:color w:val="auto"/>
          <w:szCs w:val="22"/>
        </w:rPr>
        <w:instrText>HYPERLINK \l "List_of_indicators"</w:instrText>
      </w:r>
      <w:r w:rsidRPr="00AD5942">
        <w:rPr>
          <w:rFonts w:eastAsia="SimSun" w:cs="Calibri"/>
          <w:color w:val="auto"/>
          <w:szCs w:val="22"/>
        </w:rPr>
        <w:fldChar w:fldCharType="separate"/>
      </w:r>
      <w:r w:rsidRPr="00AD5942">
        <w:rPr>
          <w:rFonts w:ascii="Calibri" w:eastAsia="SimSun" w:hAnsi="Calibri"/>
          <w:b/>
          <w:color w:val="auto"/>
        </w:rPr>
        <w:t>Indicator 14.b.1</w:t>
      </w:r>
      <w:r w:rsidRPr="00AD5942">
        <w:rPr>
          <w:rFonts w:eastAsia="SimSun" w:cs="Calibri"/>
          <w:color w:val="auto"/>
          <w:szCs w:val="22"/>
        </w:rPr>
        <w:fldChar w:fldCharType="end"/>
      </w:r>
      <w:bookmarkEnd w:id="6"/>
      <w:bookmarkEnd w:id="7"/>
      <w:r w:rsidRPr="00AD5942">
        <w:rPr>
          <w:rFonts w:ascii="Calibri" w:eastAsia="SimSun" w:hAnsi="Calibri"/>
          <w:b/>
          <w:color w:val="auto"/>
        </w:rPr>
        <w:t xml:space="preserve"> (Core)</w:t>
      </w:r>
      <w:r w:rsidRPr="00AD5942">
        <w:rPr>
          <w:rFonts w:ascii="Calibri" w:eastAsia="SimSun" w:hAnsi="Calibri"/>
          <w:b/>
          <w:color w:val="auto"/>
        </w:rPr>
        <w:br/>
      </w:r>
      <w:r w:rsidRPr="00AD5942">
        <w:rPr>
          <w:rFonts w:ascii="Calibri" w:eastAsia="SimSun" w:hAnsi="Calibri"/>
          <w:color w:val="auto"/>
        </w:rPr>
        <w:t>“Percentage of catches that are subject to a catch documentation scheme or similar traceability system as a percentage of the total catches that are less than x tons and traded in major markets</w:t>
      </w:r>
      <w:r w:rsidRPr="00AD5942">
        <w:rPr>
          <w:rFonts w:ascii="Calibri" w:eastAsia="SimSun" w:hAnsi="Calibri"/>
          <w:b/>
          <w:color w:val="auto"/>
        </w:rPr>
        <w:t>”</w:t>
      </w:r>
    </w:p>
    <w:p w:rsidR="00AD5942" w:rsidRPr="00AD5942" w:rsidRDefault="00AD5942" w:rsidP="00AD5942">
      <w:pPr>
        <w:suppressAutoHyphens/>
        <w:spacing w:after="200" w:line="276" w:lineRule="auto"/>
        <w:rPr>
          <w:rFonts w:ascii="Calibri" w:eastAsia="SimSun" w:hAnsi="Calibri"/>
          <w:color w:val="00000A"/>
        </w:rPr>
      </w:pPr>
    </w:p>
    <w:p w:rsidR="00AD5942" w:rsidRPr="00AD5942" w:rsidRDefault="00AD5942" w:rsidP="00AD5942">
      <w:pPr>
        <w:numPr>
          <w:ilvl w:val="0"/>
          <w:numId w:val="14"/>
        </w:numPr>
        <w:suppressAutoHyphens/>
        <w:spacing w:after="200" w:line="276" w:lineRule="auto"/>
        <w:jc w:val="both"/>
        <w:rPr>
          <w:rFonts w:ascii="Calibri" w:eastAsia="SimSun" w:hAnsi="Calibri"/>
          <w:b/>
          <w:bCs/>
          <w:color w:val="00000A"/>
          <w:sz w:val="22"/>
        </w:rPr>
      </w:pPr>
      <w:r w:rsidRPr="00AD5942">
        <w:rPr>
          <w:rFonts w:ascii="Calibri" w:eastAsia="SimSun" w:hAnsi="Calibri"/>
          <w:b/>
          <w:bCs/>
          <w:color w:val="00000A"/>
          <w:sz w:val="22"/>
        </w:rPr>
        <w:t xml:space="preserve">What is the </w:t>
      </w:r>
      <w:r w:rsidRPr="00AD5942">
        <w:rPr>
          <w:rFonts w:ascii="Calibri" w:eastAsia="SimSun" w:hAnsi="Calibri"/>
          <w:b/>
          <w:bCs/>
          <w:i/>
          <w:iCs/>
          <w:color w:val="00000A"/>
          <w:sz w:val="22"/>
        </w:rPr>
        <w:t>precise</w:t>
      </w:r>
      <w:r w:rsidRPr="00AD5942">
        <w:rPr>
          <w:rFonts w:ascii="Calibri" w:eastAsia="SimSun" w:hAnsi="Calibri"/>
          <w:b/>
          <w:bCs/>
          <w:color w:val="00000A"/>
          <w:sz w:val="22"/>
        </w:rPr>
        <w:t xml:space="preserve"> definition of the indicator?</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 xml:space="preserve">This indicator is formulated as </w:t>
      </w:r>
      <w:r w:rsidRPr="00AD5942">
        <w:rPr>
          <w:rFonts w:ascii="Calibri" w:eastAsia="SimSun" w:hAnsi="Calibri"/>
          <w:i/>
          <w:color w:val="00000A"/>
          <w:sz w:val="22"/>
        </w:rPr>
        <w:t>Percentage of c</w:t>
      </w:r>
      <w:r w:rsidRPr="00AD5942">
        <w:rPr>
          <w:rFonts w:ascii="Calibri" w:eastAsia="SimSun" w:hAnsi="Calibri"/>
          <w:i/>
          <w:sz w:val="22"/>
        </w:rPr>
        <w:t>atches that are subject to a catch documentation scheme or similar traceability system as a percentage of the total catches that are less than x tons and traded in major markets</w:t>
      </w:r>
      <w:r w:rsidRPr="00AD5942">
        <w:rPr>
          <w:rFonts w:ascii="Calibri" w:eastAsia="SimSun" w:hAnsi="Calibri"/>
          <w:color w:val="00000A"/>
          <w:sz w:val="22"/>
        </w:rPr>
        <w:t>: This indicator measures the “access to markets” aspect of the target by using the % of the catch that is subject to some form of a catch document scheme (or similar traceability system) traded in major markets.</w:t>
      </w:r>
    </w:p>
    <w:p w:rsidR="00AD5942" w:rsidRPr="00AD5942" w:rsidRDefault="00AD5942" w:rsidP="00AD5942">
      <w:pPr>
        <w:numPr>
          <w:ilvl w:val="0"/>
          <w:numId w:val="14"/>
        </w:numPr>
        <w:suppressAutoHyphens/>
        <w:spacing w:after="200" w:line="276" w:lineRule="auto"/>
        <w:jc w:val="both"/>
        <w:rPr>
          <w:rFonts w:ascii="Calibri" w:eastAsia="SimSun" w:hAnsi="Calibri"/>
          <w:b/>
          <w:bCs/>
          <w:color w:val="00000A"/>
          <w:sz w:val="22"/>
        </w:rPr>
      </w:pPr>
      <w:r w:rsidRPr="00AD5942">
        <w:rPr>
          <w:rFonts w:ascii="Calibri" w:eastAsia="SimSun" w:hAnsi="Calibri"/>
          <w:b/>
          <w:bCs/>
          <w:color w:val="00000A"/>
          <w:sz w:val="22"/>
        </w:rPr>
        <w:t>How is the indicator linked to the specific TARGET as worded in the OWG Report?</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It is assumed this level of catch is associated with small scale artisanal fisheries since catches of less than x tons are characteristic of such fisheries and that this catch is traceable and legally caught, and changes in the % will reflect changes in access to markets by small scale artisanal fisheries. In terms of the development agenda, fishers are more likely to have improved incomes when they can access major markets either directly or indirectly, and this access to major markets is increasingly dependent on being able to document that the fish were caught legally and/or sustainably. A catch documentation scheme (or similar), and especially one that follows the developing guidelines, will provide the means to track the changes in access to markets.</w:t>
      </w:r>
    </w:p>
    <w:p w:rsidR="00AD5942" w:rsidRPr="00AD5942" w:rsidRDefault="00AD5942" w:rsidP="00AD5942">
      <w:pPr>
        <w:numPr>
          <w:ilvl w:val="0"/>
          <w:numId w:val="11"/>
        </w:numPr>
        <w:suppressAutoHyphens/>
        <w:spacing w:after="200" w:line="276" w:lineRule="auto"/>
        <w:jc w:val="both"/>
        <w:rPr>
          <w:rFonts w:ascii="Calibri" w:eastAsia="SimSun" w:hAnsi="Calibri"/>
          <w:b/>
          <w:bCs/>
          <w:color w:val="00000A"/>
          <w:sz w:val="22"/>
        </w:rPr>
      </w:pPr>
      <w:r w:rsidRPr="00AD5942">
        <w:rPr>
          <w:rFonts w:ascii="Calibri" w:eastAsia="SimSun" w:hAnsi="Calibri"/>
          <w:b/>
          <w:bCs/>
          <w:color w:val="00000A"/>
          <w:sz w:val="22"/>
        </w:rPr>
        <w:t>Does the indicator already exist and is it regularly reported?</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 xml:space="preserve">The indicator does not exist, but the information does exist for some countries where such catch documentation schemes already exist, which is primarily the case for developed countries. However, FAO is leading the development of guidelines for such schemes and it is anticipated that the guidelines will be discussed and possibly endorsed in 2016 (at COFI). There is sufficient interest in CDS to begin to discuss/develop a globally agreed indicator for products traded through major markets. A catch documentation scheme will provide the framework on which to build and manage the indicator. </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The feasibility of the indicator will primarily be determined by countries and regions that put in place a CDS, and if instituted the cost of data collection will be a part of the CDS, and will operate on a continuing basis. The information in a CDS is collected along the value chain and to precisely calculate the indicator, the country where distribution of the product ends will be the collector of the information since they will have the point of origin and destination and will be able to determine the total volume of product landed and the volume of product landed that is subject to a CDS for catch less than X tons.</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The EU and selected other countries are collecting such information and are interested in the CDS guidelines and their application by other countries that do not require CDSs.</w:t>
      </w:r>
    </w:p>
    <w:p w:rsidR="00AD5942" w:rsidRPr="00AD5942" w:rsidRDefault="00AD5942" w:rsidP="00AD5942">
      <w:pPr>
        <w:numPr>
          <w:ilvl w:val="0"/>
          <w:numId w:val="18"/>
        </w:numPr>
        <w:suppressAutoHyphens/>
        <w:spacing w:after="200" w:line="276" w:lineRule="auto"/>
        <w:jc w:val="both"/>
        <w:rPr>
          <w:rFonts w:ascii="Calibri" w:eastAsia="SimSun" w:hAnsi="Calibri"/>
          <w:b/>
          <w:bCs/>
          <w:color w:val="00000A"/>
          <w:sz w:val="22"/>
        </w:rPr>
      </w:pPr>
      <w:r w:rsidRPr="00AD5942">
        <w:rPr>
          <w:rFonts w:ascii="Calibri" w:eastAsia="SimSun" w:hAnsi="Calibri"/>
          <w:b/>
          <w:bCs/>
          <w:color w:val="00000A"/>
          <w:sz w:val="22"/>
        </w:rPr>
        <w:lastRenderedPageBreak/>
        <w:t>Comment on the reliability, potential coverage, comparability across countries, and the possibility to compute the indicator at sub-national level.</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The information collected from major markets should be reliable since these markets are more than likely to have systems in place to audit and to assess the reliability of the information they are receiving with shipments. The coverage has the potential to be quite widespread since fish are a highly traded commodity, with almost all countries engaged in trading some form of fish product. If the CDS guidelines are used by the various schemes, the indicator should be comparable across countries. There is potential for the indicator to be aggregated or disaggregated and deconstructed.</w:t>
      </w:r>
    </w:p>
    <w:p w:rsidR="00AD5942" w:rsidRPr="00AD5942" w:rsidRDefault="00AD5942" w:rsidP="00AD5942">
      <w:pPr>
        <w:numPr>
          <w:ilvl w:val="0"/>
          <w:numId w:val="19"/>
        </w:numPr>
        <w:suppressAutoHyphens/>
        <w:spacing w:after="200" w:line="276" w:lineRule="auto"/>
        <w:jc w:val="both"/>
        <w:rPr>
          <w:rFonts w:ascii="Calibri" w:eastAsia="SimSun" w:hAnsi="Calibri"/>
          <w:b/>
          <w:bCs/>
          <w:color w:val="00000A"/>
          <w:sz w:val="22"/>
        </w:rPr>
      </w:pPr>
      <w:r w:rsidRPr="00AD5942">
        <w:rPr>
          <w:rFonts w:ascii="Calibri" w:eastAsia="SimSun" w:hAnsi="Calibri"/>
          <w:b/>
          <w:bCs/>
          <w:color w:val="00000A"/>
          <w:sz w:val="22"/>
        </w:rPr>
        <w:t xml:space="preserve">   Is there already a baseline value for 2015? </w:t>
      </w:r>
    </w:p>
    <w:p w:rsidR="00AD5942" w:rsidRPr="00AD5942" w:rsidRDefault="00AD5942" w:rsidP="00AD5942">
      <w:pPr>
        <w:suppressAutoHyphens/>
        <w:spacing w:after="200" w:line="276" w:lineRule="auto"/>
        <w:jc w:val="both"/>
        <w:rPr>
          <w:rFonts w:ascii="Calibri" w:eastAsia="SimSun" w:hAnsi="Calibri"/>
          <w:color w:val="00000A"/>
          <w:sz w:val="22"/>
        </w:rPr>
      </w:pPr>
      <w:r w:rsidRPr="00AD5942">
        <w:rPr>
          <w:rFonts w:ascii="Calibri" w:eastAsia="SimSun" w:hAnsi="Calibri"/>
          <w:color w:val="00000A"/>
          <w:sz w:val="22"/>
        </w:rPr>
        <w:t>Setting a global target for 2030 is possible but for a credible value, a baseline needs to be established. A differentiated target set by countries is perhaps the most meaningful approach.</w:t>
      </w:r>
    </w:p>
    <w:p w:rsidR="00AD5942" w:rsidRPr="00AD5942" w:rsidRDefault="00AD5942" w:rsidP="00AD5942">
      <w:pPr>
        <w:rPr>
          <w:rFonts w:ascii="Calibri" w:eastAsia="SimSun" w:hAnsi="Calibri"/>
          <w:color w:val="00000A"/>
        </w:rPr>
      </w:pPr>
      <w:r w:rsidRPr="00AD5942">
        <w:rPr>
          <w:rFonts w:ascii="Calibri" w:eastAsia="SimSun" w:hAnsi="Calibri"/>
          <w:color w:val="00000A"/>
        </w:rPr>
        <w:br w:type="page"/>
      </w:r>
    </w:p>
    <w:bookmarkStart w:id="8" w:name="Indicator_14_b_2"/>
    <w:p w:rsidR="00AD5942" w:rsidRPr="00AD5942" w:rsidRDefault="00AD5942" w:rsidP="00AD5942">
      <w:pPr>
        <w:shd w:val="clear" w:color="auto" w:fill="99FF99"/>
        <w:spacing w:after="200" w:line="276" w:lineRule="auto"/>
        <w:ind w:right="-285"/>
        <w:jc w:val="center"/>
        <w:rPr>
          <w:rFonts w:ascii="Calibri" w:eastAsia="SimSun" w:hAnsi="Calibri"/>
          <w:b/>
          <w:color w:val="auto"/>
        </w:rPr>
      </w:pPr>
      <w:r w:rsidRPr="00AD5942">
        <w:rPr>
          <w:rFonts w:eastAsia="SimSun" w:cs="Calibri"/>
          <w:color w:val="auto"/>
          <w:szCs w:val="22"/>
        </w:rPr>
        <w:lastRenderedPageBreak/>
        <w:fldChar w:fldCharType="begin"/>
      </w:r>
      <w:r w:rsidRPr="00AD5942">
        <w:rPr>
          <w:rFonts w:eastAsia="SimSun" w:cs="Calibri"/>
          <w:color w:val="auto"/>
          <w:szCs w:val="22"/>
        </w:rPr>
        <w:instrText>HYPERLINK \l "List_of_indicators"</w:instrText>
      </w:r>
      <w:r w:rsidRPr="00AD5942">
        <w:rPr>
          <w:rFonts w:eastAsia="SimSun" w:cs="Calibri"/>
          <w:color w:val="auto"/>
          <w:szCs w:val="22"/>
        </w:rPr>
        <w:fldChar w:fldCharType="separate"/>
      </w:r>
      <w:r w:rsidRPr="00AD5942">
        <w:rPr>
          <w:rFonts w:ascii="Calibri" w:eastAsia="SimSun" w:hAnsi="Calibri"/>
          <w:b/>
          <w:color w:val="auto"/>
        </w:rPr>
        <w:t>Indicator 14.b</w:t>
      </w:r>
      <w:proofErr w:type="gramStart"/>
      <w:r w:rsidRPr="00AD5942">
        <w:rPr>
          <w:rFonts w:ascii="Calibri" w:eastAsia="SimSun" w:hAnsi="Calibri"/>
          <w:b/>
          <w:color w:val="auto"/>
        </w:rPr>
        <w:t>.</w:t>
      </w:r>
      <w:proofErr w:type="gramEnd"/>
      <w:r w:rsidRPr="00AD5942">
        <w:rPr>
          <w:rFonts w:eastAsia="SimSun" w:cs="Calibri"/>
          <w:color w:val="auto"/>
          <w:szCs w:val="22"/>
        </w:rPr>
        <w:fldChar w:fldCharType="end"/>
      </w:r>
      <w:r w:rsidRPr="00AD5942">
        <w:rPr>
          <w:rFonts w:ascii="Calibri" w:eastAsia="SimSun" w:hAnsi="Calibri"/>
          <w:b/>
          <w:color w:val="auto"/>
        </w:rPr>
        <w:t>2</w:t>
      </w:r>
      <w:bookmarkEnd w:id="8"/>
      <w:r w:rsidRPr="00AD5942">
        <w:rPr>
          <w:rFonts w:ascii="Calibri" w:eastAsia="SimSun" w:hAnsi="Calibri"/>
          <w:b/>
          <w:color w:val="auto"/>
        </w:rPr>
        <w:t xml:space="preserve"> (Core)</w:t>
      </w:r>
      <w:r w:rsidRPr="00AD5942">
        <w:rPr>
          <w:rFonts w:ascii="Calibri" w:eastAsia="SimSun" w:hAnsi="Calibri"/>
          <w:b/>
          <w:color w:val="auto"/>
        </w:rPr>
        <w:br/>
        <w:t>“</w:t>
      </w:r>
      <w:r w:rsidRPr="00AD5942">
        <w:rPr>
          <w:rFonts w:ascii="Calibri" w:eastAsia="SimSun" w:hAnsi="Calibri"/>
          <w:color w:val="auto"/>
        </w:rPr>
        <w:t>Progress by countries (level/degree of] in the application of a legal/regulatory/ policy/institutional framework which recognizes and protects access rights for small-scale fisheries</w:t>
      </w:r>
      <w:r w:rsidRPr="00AD5942">
        <w:rPr>
          <w:rFonts w:ascii="Calibri" w:eastAsia="SimSun" w:hAnsi="Calibri"/>
          <w:b/>
          <w:color w:val="auto"/>
        </w:rPr>
        <w:t>”</w:t>
      </w:r>
    </w:p>
    <w:p w:rsidR="00AD5942" w:rsidRPr="00AD5942" w:rsidRDefault="00AD5942" w:rsidP="00AD5942">
      <w:pPr>
        <w:numPr>
          <w:ilvl w:val="0"/>
          <w:numId w:val="16"/>
        </w:numPr>
        <w:suppressAutoHyphens/>
        <w:spacing w:after="200" w:line="276" w:lineRule="auto"/>
        <w:jc w:val="both"/>
        <w:rPr>
          <w:rFonts w:ascii="Calibri" w:eastAsia="SimSun" w:hAnsi="Calibri"/>
          <w:b/>
          <w:bCs/>
          <w:color w:val="00000A"/>
          <w:sz w:val="22"/>
        </w:rPr>
      </w:pPr>
      <w:r w:rsidRPr="00AD5942">
        <w:rPr>
          <w:rFonts w:ascii="Calibri" w:eastAsia="SimSun" w:hAnsi="Calibri"/>
          <w:b/>
          <w:bCs/>
          <w:color w:val="00000A"/>
          <w:sz w:val="22"/>
        </w:rPr>
        <w:t xml:space="preserve">What is the </w:t>
      </w:r>
      <w:r w:rsidRPr="00AD5942">
        <w:rPr>
          <w:rFonts w:ascii="Calibri" w:eastAsia="SimSun" w:hAnsi="Calibri"/>
          <w:b/>
          <w:bCs/>
          <w:i/>
          <w:iCs/>
          <w:color w:val="00000A"/>
          <w:sz w:val="22"/>
        </w:rPr>
        <w:t>precise</w:t>
      </w:r>
      <w:r w:rsidRPr="00AD5942">
        <w:rPr>
          <w:rFonts w:ascii="Calibri" w:eastAsia="SimSun" w:hAnsi="Calibri"/>
          <w:b/>
          <w:bCs/>
          <w:color w:val="00000A"/>
          <w:sz w:val="22"/>
        </w:rPr>
        <w:t xml:space="preserve"> definition of the indicator?</w:t>
      </w:r>
    </w:p>
    <w:p w:rsidR="00AD5942" w:rsidRPr="00AD5942" w:rsidRDefault="00AD5942" w:rsidP="00AD5942">
      <w:pPr>
        <w:suppressAutoHyphens/>
        <w:spacing w:after="200" w:line="276" w:lineRule="auto"/>
        <w:ind w:right="-285"/>
        <w:jc w:val="both"/>
        <w:rPr>
          <w:rFonts w:ascii="Calibri" w:eastAsia="SimSun" w:hAnsi="Calibri"/>
          <w:i/>
          <w:color w:val="00000A"/>
          <w:sz w:val="22"/>
        </w:rPr>
      </w:pPr>
      <w:r w:rsidRPr="00AD5942">
        <w:rPr>
          <w:rFonts w:ascii="Calibri" w:eastAsia="SimSun" w:hAnsi="Calibri"/>
          <w:bCs/>
          <w:color w:val="00000A"/>
          <w:sz w:val="22"/>
        </w:rPr>
        <w:t>The indicator is formulated as</w:t>
      </w:r>
      <w:r w:rsidRPr="00AD5942">
        <w:rPr>
          <w:rFonts w:ascii="Calibri" w:eastAsia="SimSun" w:hAnsi="Calibri"/>
          <w:bCs/>
          <w:i/>
          <w:color w:val="00000A"/>
          <w:sz w:val="22"/>
        </w:rPr>
        <w:t xml:space="preserve"> Progress by countries in adopting and implementing a</w:t>
      </w:r>
      <w:r w:rsidRPr="00AD5942">
        <w:rPr>
          <w:rFonts w:ascii="Calibri" w:eastAsia="SimSun" w:hAnsi="Calibri"/>
          <w:i/>
          <w:color w:val="00000A"/>
          <w:sz w:val="22"/>
        </w:rPr>
        <w:t xml:space="preserve"> legal/regulatory/policy/institutional framework which recognizes and protects access rights for small-scale fisheries. </w:t>
      </w:r>
      <w:r w:rsidRPr="00AD5942">
        <w:rPr>
          <w:rFonts w:ascii="Calibri" w:eastAsia="SimSun" w:hAnsi="Calibri"/>
          <w:color w:val="00000A"/>
          <w:sz w:val="22"/>
        </w:rPr>
        <w:t>This indicator measures the “access rights” aspect of the target.</w:t>
      </w:r>
    </w:p>
    <w:p w:rsidR="00AD5942" w:rsidRPr="00AD5942" w:rsidRDefault="00AD5942" w:rsidP="00AD5942">
      <w:pPr>
        <w:numPr>
          <w:ilvl w:val="1"/>
          <w:numId w:val="17"/>
        </w:numPr>
        <w:suppressAutoHyphens/>
        <w:spacing w:after="200" w:line="276" w:lineRule="auto"/>
        <w:ind w:right="-285"/>
        <w:jc w:val="both"/>
        <w:rPr>
          <w:rFonts w:ascii="Calibri" w:eastAsia="SimSun" w:hAnsi="Calibri"/>
          <w:b/>
          <w:bCs/>
          <w:color w:val="00000A"/>
          <w:sz w:val="22"/>
        </w:rPr>
      </w:pPr>
      <w:r w:rsidRPr="00AD5942">
        <w:rPr>
          <w:rFonts w:ascii="Calibri" w:eastAsia="SimSun" w:hAnsi="Calibri"/>
          <w:b/>
          <w:bCs/>
          <w:color w:val="00000A"/>
          <w:sz w:val="22"/>
        </w:rPr>
        <w:t>How is the indicator linked to the specific TARGET as worded in the OWG Report?</w:t>
      </w:r>
    </w:p>
    <w:p w:rsidR="00AD5942" w:rsidRPr="00AD5942" w:rsidRDefault="00AD5942" w:rsidP="00AD5942">
      <w:pPr>
        <w:suppressAutoHyphens/>
        <w:spacing w:after="200" w:line="276" w:lineRule="auto"/>
        <w:ind w:right="-285"/>
        <w:jc w:val="both"/>
        <w:rPr>
          <w:rFonts w:ascii="Calibri" w:eastAsia="SimSun" w:hAnsi="Calibri"/>
          <w:color w:val="auto"/>
          <w:sz w:val="22"/>
        </w:rPr>
      </w:pPr>
      <w:r w:rsidRPr="00AD5942">
        <w:rPr>
          <w:rFonts w:ascii="Calibri" w:eastAsia="SimSun" w:hAnsi="Calibri"/>
          <w:color w:val="00000A"/>
          <w:sz w:val="22"/>
        </w:rPr>
        <w:t xml:space="preserve">Due to </w:t>
      </w:r>
      <w:r w:rsidRPr="00AD5942">
        <w:rPr>
          <w:rFonts w:ascii="Calibri" w:eastAsia="SimSun" w:hAnsi="Calibri"/>
          <w:color w:val="auto"/>
          <w:sz w:val="22"/>
        </w:rPr>
        <w:t xml:space="preserve">the diverse nature of small-scale fisheries in different countries, there is no globally agreed definition  for small-scale fisheries, which became also evident during the development process of the </w:t>
      </w:r>
      <w:hyperlink r:id="rId9" w:history="1">
        <w:r w:rsidRPr="00AD5942">
          <w:rPr>
            <w:rFonts w:ascii="Calibri" w:eastAsia="SimSun" w:hAnsi="Calibri"/>
            <w:color w:val="auto"/>
            <w:sz w:val="22"/>
            <w:u w:val="single"/>
          </w:rPr>
          <w:t>Voluntary Guidelines for Securing Sustainable Small-Scale Fisheries in the Context of Food Security and Poverty Eradication (SSF Guidelines)</w:t>
        </w:r>
      </w:hyperlink>
      <w:r w:rsidRPr="00AD5942">
        <w:rPr>
          <w:rFonts w:ascii="Calibri" w:eastAsia="SimSun" w:hAnsi="Calibri"/>
          <w:color w:val="auto"/>
          <w:sz w:val="22"/>
        </w:rPr>
        <w:t xml:space="preserve"> recently endorsed by the FAO Committee on Fisheries (COFI). </w:t>
      </w:r>
    </w:p>
    <w:p w:rsidR="00AD5942" w:rsidRPr="00AD5942" w:rsidRDefault="00AD5942" w:rsidP="00AD5942">
      <w:pPr>
        <w:suppressAutoHyphens/>
        <w:spacing w:after="200" w:line="276" w:lineRule="auto"/>
        <w:ind w:right="-285"/>
        <w:jc w:val="both"/>
        <w:rPr>
          <w:rFonts w:ascii="Calibri" w:eastAsia="SimSun" w:hAnsi="Calibri"/>
          <w:color w:val="auto"/>
          <w:sz w:val="22"/>
        </w:rPr>
      </w:pPr>
      <w:r w:rsidRPr="00AD5942">
        <w:rPr>
          <w:rFonts w:ascii="Calibri" w:eastAsia="SimSun" w:hAnsi="Calibri"/>
          <w:color w:val="auto"/>
          <w:sz w:val="22"/>
        </w:rPr>
        <w:t>Accordingly, paragraph 2.4 of this new international instrument which complements the Code of Conduct for Responsible Fisheries (CCRF) states that ‘</w:t>
      </w:r>
      <w:r w:rsidRPr="00AD5942">
        <w:rPr>
          <w:rFonts w:ascii="Calibri" w:eastAsia="SimSun" w:hAnsi="Calibri"/>
          <w:i/>
          <w:color w:val="auto"/>
          <w:sz w:val="22"/>
        </w:rPr>
        <w:t>These Guidelines recognize the great diversity of small-scale fisheries and that there is no single, agreed definition of the subsector. Accordingly, the Guidelines do not prescribe a standard definition of small-scale fisheries nor do they prescribe how the Guidelines should be applied in a national context. These Guidelines are especially relevant to subsistence small-scale fisheries and vulnerable fisheries people. To ensure transparency and accountability in the application of the Guidelines, it is important to ascertain which activities and operators are considered small-scale, and to identify vulnerable and marginalized groups needing greater attention. This should be undertaken at a regional, sub-regional or national level and according to the particular context in which they are to be applied. States should ensure that such identification and application are guided by meaningful and substantive participatory, consultative, multilevel and objective-oriented processes so that the voices of both men and women are heard. All parties should support and participate, as appropriate and relevant, in such processes</w:t>
      </w:r>
      <w:r w:rsidRPr="00AD5942">
        <w:rPr>
          <w:rFonts w:ascii="Calibri" w:eastAsia="SimSun" w:hAnsi="Calibri"/>
          <w:color w:val="auto"/>
          <w:sz w:val="22"/>
        </w:rPr>
        <w:t>.’</w:t>
      </w:r>
    </w:p>
    <w:p w:rsidR="00AD5942" w:rsidRPr="00AD5942" w:rsidRDefault="00AD5942" w:rsidP="00AD5942">
      <w:pPr>
        <w:suppressAutoHyphens/>
        <w:spacing w:after="200" w:line="276" w:lineRule="auto"/>
        <w:ind w:right="-285"/>
        <w:jc w:val="both"/>
        <w:rPr>
          <w:rFonts w:ascii="Calibri" w:eastAsia="SimSun" w:hAnsi="Calibri"/>
          <w:color w:val="auto"/>
          <w:sz w:val="22"/>
        </w:rPr>
      </w:pPr>
      <w:r w:rsidRPr="00AD5942">
        <w:rPr>
          <w:rFonts w:ascii="Calibri" w:eastAsia="SimSun" w:hAnsi="Calibri"/>
          <w:color w:val="auto"/>
          <w:sz w:val="22"/>
        </w:rPr>
        <w:t xml:space="preserve">The target is focusing on </w:t>
      </w:r>
      <w:r w:rsidRPr="00AD5942">
        <w:rPr>
          <w:rFonts w:ascii="Calibri" w:eastAsia="SimSun" w:hAnsi="Calibri"/>
          <w:i/>
          <w:color w:val="auto"/>
          <w:sz w:val="22"/>
        </w:rPr>
        <w:t xml:space="preserve">access </w:t>
      </w:r>
      <w:r w:rsidRPr="00AD5942">
        <w:rPr>
          <w:rFonts w:ascii="Calibri" w:eastAsia="SimSun" w:hAnsi="Calibri"/>
          <w:color w:val="auto"/>
          <w:sz w:val="22"/>
        </w:rPr>
        <w:t xml:space="preserve">to resources and markets for small-scale fisheries, in line with the </w:t>
      </w:r>
      <w:hyperlink r:id="rId10" w:history="1">
        <w:r w:rsidRPr="00AD5942">
          <w:rPr>
            <w:rFonts w:ascii="Calibri" w:eastAsia="SimSun" w:hAnsi="Calibri"/>
            <w:color w:val="auto"/>
            <w:sz w:val="22"/>
            <w:u w:val="single"/>
          </w:rPr>
          <w:t>Rio+20 outcome document</w:t>
        </w:r>
      </w:hyperlink>
      <w:r w:rsidRPr="00AD5942">
        <w:rPr>
          <w:rFonts w:ascii="Calibri" w:eastAsia="SimSun" w:hAnsi="Calibri"/>
          <w:color w:val="auto"/>
          <w:sz w:val="22"/>
        </w:rPr>
        <w:t xml:space="preserve"> para, 175. In order to guarantee secure access, an enabling environment is necessary which recognizes and protects small-scale fisheries rights. Such an enabling environment requires appropriate legal, regulatory and policy frameworks and related institutional mechanisms as well their effective application. </w:t>
      </w:r>
    </w:p>
    <w:p w:rsidR="00AD5942" w:rsidRPr="00AD5942" w:rsidRDefault="00AD5942" w:rsidP="00AD5942">
      <w:pPr>
        <w:numPr>
          <w:ilvl w:val="0"/>
          <w:numId w:val="15"/>
        </w:numPr>
        <w:suppressAutoHyphens/>
        <w:spacing w:after="200" w:line="276" w:lineRule="auto"/>
        <w:ind w:right="-285"/>
        <w:jc w:val="both"/>
        <w:rPr>
          <w:rFonts w:ascii="Calibri" w:eastAsia="SimSun" w:hAnsi="Calibri"/>
          <w:b/>
          <w:bCs/>
          <w:color w:val="auto"/>
          <w:sz w:val="22"/>
        </w:rPr>
      </w:pPr>
      <w:r w:rsidRPr="00AD5942">
        <w:rPr>
          <w:rFonts w:ascii="Calibri" w:eastAsia="SimSun" w:hAnsi="Calibri"/>
          <w:b/>
          <w:bCs/>
          <w:color w:val="auto"/>
          <w:sz w:val="22"/>
        </w:rPr>
        <w:t>Does the indicator already exist and is it regularly reported?</w:t>
      </w:r>
    </w:p>
    <w:p w:rsidR="00AD5942" w:rsidRPr="00AD5942" w:rsidRDefault="00AD5942" w:rsidP="00AD5942">
      <w:pPr>
        <w:suppressAutoHyphens/>
        <w:spacing w:after="200" w:line="276" w:lineRule="auto"/>
        <w:ind w:right="-285"/>
        <w:jc w:val="both"/>
        <w:rPr>
          <w:rFonts w:ascii="Calibri" w:eastAsia="SimSun" w:hAnsi="Calibri"/>
          <w:color w:val="00000A"/>
          <w:sz w:val="22"/>
        </w:rPr>
      </w:pPr>
      <w:r w:rsidRPr="00AD5942">
        <w:rPr>
          <w:rFonts w:ascii="Calibri" w:eastAsia="SimSun" w:hAnsi="Calibri"/>
          <w:bCs/>
          <w:color w:val="auto"/>
          <w:sz w:val="22"/>
        </w:rPr>
        <w:t>There is currently not such indicator but the biennial FAO survey questionnaire on the CCRF implementation</w:t>
      </w:r>
      <w:r w:rsidRPr="00AD5942">
        <w:rPr>
          <w:rFonts w:ascii="Calibri" w:eastAsia="SimSun" w:hAnsi="Calibri"/>
          <w:bCs/>
          <w:color w:val="auto"/>
          <w:sz w:val="22"/>
          <w:vertAlign w:val="superscript"/>
        </w:rPr>
        <w:footnoteReference w:id="7"/>
      </w:r>
      <w:r w:rsidRPr="00AD5942">
        <w:rPr>
          <w:rFonts w:ascii="Calibri" w:eastAsia="SimSun" w:hAnsi="Calibri"/>
          <w:bCs/>
          <w:color w:val="auto"/>
          <w:sz w:val="22"/>
        </w:rPr>
        <w:t xml:space="preserve"> will include</w:t>
      </w:r>
      <w:r w:rsidRPr="00AD5942">
        <w:rPr>
          <w:rFonts w:ascii="Calibri" w:eastAsia="SimSun" w:hAnsi="Calibri"/>
          <w:bCs/>
          <w:color w:val="00000A"/>
          <w:sz w:val="22"/>
        </w:rPr>
        <w:t xml:space="preserve"> new questions in relation to small-scale fisheries and the implementation of the SSF Guidelines. The first results will become available for COFI in 2016, allowing for the definition of a baseline and starting period for this indicator. COFI 2016 can provide an opportunity to sharpen the </w:t>
      </w:r>
      <w:r w:rsidRPr="00AD5942">
        <w:rPr>
          <w:rFonts w:ascii="Calibri" w:eastAsia="SimSun" w:hAnsi="Calibri"/>
          <w:bCs/>
          <w:color w:val="00000A"/>
          <w:sz w:val="22"/>
        </w:rPr>
        <w:lastRenderedPageBreak/>
        <w:t>questions if needed. In addition, there will be a specific COFI agenda item on small-scale fisheries. Data could therefore be produced at country level every two years for COFI through the electronic questionnaire.</w:t>
      </w:r>
    </w:p>
    <w:p w:rsidR="00AD5942" w:rsidRPr="00AD5942" w:rsidRDefault="00AD5942" w:rsidP="00AD5942">
      <w:pPr>
        <w:numPr>
          <w:ilvl w:val="0"/>
          <w:numId w:val="21"/>
        </w:numPr>
        <w:tabs>
          <w:tab w:val="clear" w:pos="360"/>
          <w:tab w:val="num" w:pos="1134"/>
        </w:tabs>
        <w:suppressAutoHyphens/>
        <w:spacing w:after="200" w:line="276" w:lineRule="auto"/>
        <w:ind w:left="1134" w:right="-285"/>
        <w:rPr>
          <w:rFonts w:ascii="Calibri" w:eastAsia="SimSun" w:hAnsi="Calibri"/>
          <w:b/>
          <w:bCs/>
          <w:color w:val="00000A"/>
          <w:sz w:val="22"/>
          <w:lang w:val="en-US"/>
        </w:rPr>
      </w:pPr>
      <w:r w:rsidRPr="00AD5942">
        <w:rPr>
          <w:rFonts w:ascii="Calibri" w:eastAsia="SimSun" w:hAnsi="Calibri"/>
          <w:b/>
          <w:bCs/>
          <w:color w:val="00000A"/>
          <w:sz w:val="22"/>
          <w:lang w:val="en-US"/>
        </w:rPr>
        <w:t>Comment on the reliability, potential coverage, comparability across countries, and the possibility to compute the indicator at sub-national level.</w:t>
      </w:r>
    </w:p>
    <w:p w:rsidR="00AD5942" w:rsidRPr="00AD5942" w:rsidRDefault="00AD5942" w:rsidP="00AD5942">
      <w:pPr>
        <w:suppressAutoHyphens/>
        <w:spacing w:after="200" w:line="276" w:lineRule="auto"/>
        <w:ind w:right="-285"/>
        <w:rPr>
          <w:rFonts w:ascii="Calibri" w:eastAsia="SimSun" w:hAnsi="Calibri"/>
          <w:color w:val="00000A"/>
          <w:sz w:val="22"/>
          <w:u w:val="single"/>
          <w:lang w:val="en-US"/>
        </w:rPr>
      </w:pPr>
      <w:r w:rsidRPr="00AD5942">
        <w:rPr>
          <w:rFonts w:ascii="Calibri" w:eastAsia="SimSun" w:hAnsi="Calibri"/>
          <w:color w:val="00000A"/>
          <w:sz w:val="22"/>
          <w:u w:val="single"/>
          <w:lang w:val="en-US"/>
        </w:rPr>
        <w:t>Reliability</w:t>
      </w:r>
    </w:p>
    <w:p w:rsidR="00AD5942" w:rsidRPr="00AD5942" w:rsidRDefault="00AD5942" w:rsidP="00AD5942">
      <w:pPr>
        <w:suppressAutoHyphens/>
        <w:spacing w:after="200" w:line="276" w:lineRule="auto"/>
        <w:ind w:right="-285"/>
        <w:jc w:val="both"/>
        <w:rPr>
          <w:rFonts w:ascii="Calibri" w:eastAsia="SimSun" w:hAnsi="Calibri"/>
          <w:color w:val="00000A"/>
          <w:sz w:val="22"/>
          <w:lang w:val="en-US"/>
        </w:rPr>
      </w:pPr>
      <w:r w:rsidRPr="00AD5942">
        <w:rPr>
          <w:rFonts w:ascii="Calibri" w:eastAsia="SimSun" w:hAnsi="Calibri"/>
          <w:color w:val="00000A"/>
          <w:sz w:val="22"/>
          <w:lang w:val="en-US"/>
        </w:rPr>
        <w:t>As long FAO Member Countries do respond to the CCRF Survey, as managed by FI, and responses are reviewed and compiled and presented by FI to COFI, the reliability and comprehensiveness of the global information and data set provided will enjoy significant and growing political recognition among FAO’s Member Countries and the general public.</w:t>
      </w:r>
    </w:p>
    <w:p w:rsidR="00AD5942" w:rsidRPr="00AD5942" w:rsidRDefault="00AD5942" w:rsidP="00AD5942">
      <w:pPr>
        <w:suppressAutoHyphens/>
        <w:spacing w:after="200" w:line="276" w:lineRule="auto"/>
        <w:ind w:right="-285"/>
        <w:rPr>
          <w:rFonts w:ascii="Calibri" w:eastAsia="SimSun" w:hAnsi="Calibri"/>
          <w:color w:val="00000A"/>
          <w:sz w:val="22"/>
          <w:u w:val="single"/>
          <w:lang w:val="en-US"/>
        </w:rPr>
      </w:pPr>
      <w:r w:rsidRPr="00AD5942">
        <w:rPr>
          <w:rFonts w:ascii="Calibri" w:eastAsia="SimSun" w:hAnsi="Calibri"/>
          <w:color w:val="00000A"/>
          <w:sz w:val="22"/>
          <w:u w:val="single"/>
          <w:lang w:val="en-US"/>
        </w:rPr>
        <w:t>Coverage</w:t>
      </w:r>
    </w:p>
    <w:p w:rsidR="00AD5942" w:rsidRPr="00AD5942" w:rsidRDefault="00AD5942" w:rsidP="00AD5942">
      <w:pPr>
        <w:suppressAutoHyphens/>
        <w:spacing w:after="200" w:line="276" w:lineRule="auto"/>
        <w:ind w:right="-285"/>
        <w:rPr>
          <w:rFonts w:ascii="Calibri" w:eastAsia="SimSun" w:hAnsi="Calibri"/>
          <w:color w:val="00000A"/>
          <w:sz w:val="22"/>
          <w:lang w:val="en-US"/>
        </w:rPr>
      </w:pPr>
      <w:r w:rsidRPr="00AD5942">
        <w:rPr>
          <w:rFonts w:ascii="Calibri" w:eastAsia="SimSun" w:hAnsi="Calibri"/>
          <w:color w:val="00000A"/>
          <w:sz w:val="22"/>
          <w:lang w:val="en-US"/>
        </w:rPr>
        <w:t xml:space="preserve">The proposed indicator on would be global, covering all FAO members. </w:t>
      </w:r>
    </w:p>
    <w:p w:rsidR="00AD5942" w:rsidRPr="00AD5942" w:rsidRDefault="00AD5942" w:rsidP="00AD5942">
      <w:pPr>
        <w:suppressAutoHyphens/>
        <w:spacing w:after="200" w:line="276" w:lineRule="auto"/>
        <w:ind w:right="-285"/>
        <w:rPr>
          <w:rFonts w:ascii="Calibri" w:eastAsia="SimSun" w:hAnsi="Calibri"/>
          <w:color w:val="00000A"/>
          <w:sz w:val="22"/>
          <w:u w:val="single"/>
          <w:lang w:val="en-US"/>
        </w:rPr>
      </w:pPr>
      <w:r w:rsidRPr="00AD5942">
        <w:rPr>
          <w:rFonts w:ascii="Calibri" w:eastAsia="SimSun" w:hAnsi="Calibri"/>
          <w:color w:val="00000A"/>
          <w:sz w:val="22"/>
          <w:u w:val="single"/>
          <w:lang w:val="en-US"/>
        </w:rPr>
        <w:t>Comparability across countries</w:t>
      </w:r>
    </w:p>
    <w:p w:rsidR="00AD5942" w:rsidRPr="00AD5942" w:rsidRDefault="00AD5942" w:rsidP="00AD5942">
      <w:pPr>
        <w:suppressAutoHyphens/>
        <w:spacing w:after="200" w:line="276" w:lineRule="auto"/>
        <w:ind w:right="-285"/>
        <w:rPr>
          <w:rFonts w:ascii="Calibri" w:eastAsia="SimSun" w:hAnsi="Calibri"/>
          <w:color w:val="00000A"/>
          <w:sz w:val="22"/>
          <w:lang w:val="en-US"/>
        </w:rPr>
      </w:pPr>
      <w:r w:rsidRPr="00AD5942">
        <w:rPr>
          <w:rFonts w:ascii="Calibri" w:eastAsia="SimSun" w:hAnsi="Calibri"/>
          <w:color w:val="00000A"/>
          <w:sz w:val="22"/>
          <w:lang w:val="en-US"/>
        </w:rPr>
        <w:t>It would be possible to compare across countries and regions.</w:t>
      </w:r>
    </w:p>
    <w:p w:rsidR="00AD5942" w:rsidRPr="00AD5942" w:rsidRDefault="00AD5942" w:rsidP="00AD5942">
      <w:pPr>
        <w:suppressAutoHyphens/>
        <w:spacing w:after="200" w:line="276" w:lineRule="auto"/>
        <w:ind w:right="-285"/>
        <w:rPr>
          <w:rFonts w:ascii="Calibri" w:eastAsia="SimSun" w:hAnsi="Calibri"/>
          <w:color w:val="00000A"/>
          <w:sz w:val="22"/>
          <w:u w:val="single"/>
          <w:lang w:val="en-US"/>
        </w:rPr>
      </w:pPr>
      <w:r w:rsidRPr="00AD5942">
        <w:rPr>
          <w:rFonts w:ascii="Calibri" w:eastAsia="SimSun" w:hAnsi="Calibri"/>
          <w:color w:val="00000A"/>
          <w:sz w:val="22"/>
          <w:u w:val="single"/>
          <w:lang w:val="en-US"/>
        </w:rPr>
        <w:t>Sub-national estimates</w:t>
      </w:r>
    </w:p>
    <w:p w:rsidR="00AD5942" w:rsidRPr="00AD5942" w:rsidRDefault="00AD5942" w:rsidP="00AD5942">
      <w:pPr>
        <w:suppressAutoHyphens/>
        <w:spacing w:after="200" w:line="276" w:lineRule="auto"/>
        <w:ind w:right="-285"/>
        <w:rPr>
          <w:rFonts w:ascii="Calibri" w:eastAsia="SimSun" w:hAnsi="Calibri"/>
          <w:color w:val="00000A"/>
          <w:sz w:val="22"/>
          <w:lang w:val="en-US"/>
        </w:rPr>
      </w:pPr>
      <w:r w:rsidRPr="00AD5942">
        <w:rPr>
          <w:rFonts w:ascii="Calibri" w:eastAsia="SimSun" w:hAnsi="Calibri"/>
          <w:color w:val="00000A"/>
          <w:sz w:val="22"/>
          <w:lang w:val="en-US"/>
        </w:rPr>
        <w:t xml:space="preserve">Currently not available </w:t>
      </w:r>
    </w:p>
    <w:p w:rsidR="00AD5942" w:rsidRPr="00AD5942" w:rsidRDefault="00AD5942" w:rsidP="00AD5942">
      <w:pPr>
        <w:numPr>
          <w:ilvl w:val="0"/>
          <w:numId w:val="20"/>
        </w:numPr>
        <w:tabs>
          <w:tab w:val="clear" w:pos="360"/>
        </w:tabs>
        <w:suppressAutoHyphens/>
        <w:spacing w:after="200" w:line="276" w:lineRule="auto"/>
        <w:ind w:left="1134" w:right="-285"/>
        <w:rPr>
          <w:rFonts w:ascii="Calibri" w:eastAsia="SimSun" w:hAnsi="Calibri"/>
          <w:b/>
          <w:bCs/>
          <w:color w:val="00000A"/>
          <w:sz w:val="22"/>
          <w:lang w:val="en-US"/>
        </w:rPr>
      </w:pPr>
      <w:r w:rsidRPr="00AD5942">
        <w:rPr>
          <w:rFonts w:ascii="Calibri" w:eastAsia="SimSun" w:hAnsi="Calibri"/>
          <w:b/>
          <w:bCs/>
          <w:color w:val="00000A"/>
          <w:sz w:val="22"/>
          <w:lang w:val="en-US"/>
        </w:rPr>
        <w:t xml:space="preserve">   Is there already a baseline value for 2015? </w:t>
      </w:r>
    </w:p>
    <w:p w:rsidR="00AD5942" w:rsidRPr="00AD5942" w:rsidRDefault="00AD5942" w:rsidP="00AD5942">
      <w:pPr>
        <w:suppressAutoHyphens/>
        <w:spacing w:after="200" w:line="276" w:lineRule="auto"/>
        <w:ind w:right="-285"/>
        <w:jc w:val="both"/>
        <w:rPr>
          <w:rFonts w:ascii="Calibri" w:eastAsia="SimSun" w:hAnsi="Calibri"/>
          <w:color w:val="00000A"/>
        </w:rPr>
      </w:pPr>
      <w:r w:rsidRPr="00AD5942">
        <w:rPr>
          <w:rFonts w:ascii="Calibri" w:eastAsia="SimSun" w:hAnsi="Calibri"/>
          <w:color w:val="00000A"/>
          <w:sz w:val="22"/>
          <w:lang w:val="en-US"/>
        </w:rPr>
        <w:t>As indicated, the proposed indicator is new, and will be integrated in the next survey which should provide insight on responses by countries. The indicator examines the application by countries of a legal/regulatory/policy/institutional framework for the recognition and protection of access rights for small-scale fisheries.  However, this can be expected to be a complex process which could require substantial amount of time to advance legal, administrative and capacity development efforts. A realistic numerical target for 2030 could be envisaged, but would need to be confirmed based on survey responses and results in the next survey effort. The new indicator would need a baseline which could be formulated based on results from the next survey period.</w:t>
      </w:r>
      <w:r w:rsidRPr="00AD5942">
        <w:rPr>
          <w:rFonts w:ascii="Calibri" w:eastAsia="SimSun" w:hAnsi="Calibri"/>
          <w:color w:val="00000A"/>
        </w:rPr>
        <w:tab/>
      </w:r>
    </w:p>
    <w:bookmarkStart w:id="9" w:name="Target_14_c"/>
    <w:p w:rsidR="00AD5942" w:rsidRPr="00AD5942" w:rsidRDefault="00AD5942" w:rsidP="00AD5942">
      <w:pPr>
        <w:pageBreakBefore/>
        <w:shd w:val="clear" w:color="auto" w:fill="002060"/>
        <w:spacing w:after="200" w:line="276" w:lineRule="auto"/>
        <w:ind w:right="-285"/>
        <w:jc w:val="center"/>
        <w:outlineLvl w:val="0"/>
        <w:rPr>
          <w:rFonts w:ascii="Calibri" w:eastAsia="SimSun" w:hAnsi="Calibri"/>
          <w:b/>
          <w:color w:val="FFFFFF"/>
        </w:rPr>
      </w:pPr>
      <w:r w:rsidRPr="00AD5942">
        <w:rPr>
          <w:rFonts w:eastAsia="SimSun" w:cs="Calibri"/>
          <w:color w:val="FFFFFF"/>
          <w:szCs w:val="22"/>
        </w:rPr>
        <w:lastRenderedPageBreak/>
        <w:fldChar w:fldCharType="begin"/>
      </w:r>
      <w:r w:rsidRPr="00AD5942">
        <w:rPr>
          <w:rFonts w:eastAsia="SimSun" w:cs="Calibri"/>
          <w:color w:val="FFFFFF"/>
          <w:szCs w:val="22"/>
        </w:rPr>
        <w:instrText>HYPERLINK \l "List_of_indicators"</w:instrText>
      </w:r>
      <w:r w:rsidRPr="00AD5942">
        <w:rPr>
          <w:rFonts w:eastAsia="SimSun" w:cs="Calibri"/>
          <w:color w:val="FFFFFF"/>
          <w:szCs w:val="22"/>
        </w:rPr>
        <w:fldChar w:fldCharType="separate"/>
      </w:r>
      <w:r w:rsidRPr="00AD5942">
        <w:rPr>
          <w:rFonts w:ascii="Calibri" w:eastAsia="SimSun" w:hAnsi="Calibri"/>
          <w:b/>
          <w:color w:val="FFFFFF"/>
          <w:u w:val="single"/>
        </w:rPr>
        <w:t>Target 14.c</w:t>
      </w:r>
      <w:r w:rsidRPr="00AD5942">
        <w:rPr>
          <w:rFonts w:eastAsia="SimSun" w:cs="Calibri"/>
          <w:color w:val="FFFFFF"/>
          <w:szCs w:val="22"/>
        </w:rPr>
        <w:fldChar w:fldCharType="end"/>
      </w:r>
      <w:r w:rsidRPr="00AD5942">
        <w:rPr>
          <w:rFonts w:ascii="Calibri" w:eastAsia="SimSun" w:hAnsi="Calibri"/>
          <w:b/>
          <w:color w:val="FFFFFF"/>
        </w:rPr>
        <w:t xml:space="preserve"> </w:t>
      </w:r>
      <w:bookmarkEnd w:id="9"/>
      <w:r w:rsidRPr="00AD5942">
        <w:rPr>
          <w:rFonts w:ascii="Calibri" w:eastAsia="SimSun" w:hAnsi="Calibri"/>
          <w:b/>
          <w:color w:val="FFFFFF"/>
        </w:rPr>
        <w:br/>
        <w:t>“Ensure the full implementation of international law, as reflected in UNCLOS for states parties to it, including, where applicable, existing regional and international regimes for the conservation and sustainable use of oceans and their resources by their parties”</w:t>
      </w:r>
    </w:p>
    <w:p w:rsidR="00AD5942" w:rsidRPr="00AD5942" w:rsidRDefault="00AD5942" w:rsidP="00AD5942">
      <w:pPr>
        <w:shd w:val="clear" w:color="auto" w:fill="FFFFFF"/>
        <w:spacing w:after="200" w:line="276" w:lineRule="auto"/>
        <w:ind w:right="-285"/>
        <w:jc w:val="center"/>
        <w:rPr>
          <w:rFonts w:eastAsia="SimSun" w:cs="Calibri"/>
          <w:color w:val="00000A"/>
          <w:szCs w:val="22"/>
        </w:rPr>
      </w:pPr>
    </w:p>
    <w:p w:rsidR="00AD5942" w:rsidRPr="00AD5942" w:rsidRDefault="00AD5942" w:rsidP="00AD5942">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AD5942">
        <w:rPr>
          <w:rFonts w:ascii="Calibri" w:eastAsia="Calibri" w:hAnsi="Calibri" w:cs="Calibri"/>
          <w:i/>
          <w:sz w:val="22"/>
          <w:szCs w:val="22"/>
          <w:u w:color="000000"/>
          <w:bdr w:val="nil"/>
          <w:lang w:eastAsia="en-GB"/>
        </w:rPr>
        <w:t xml:space="preserve">This target is very broad and covers numerous interests and sectors. For this reason, FAO suggests that an alternative indicator may be more appropriate to monitor Target 14.c, compared to the proposals contained in the UN Statistical Division’s February and May preliminary and priority lists. </w:t>
      </w:r>
    </w:p>
    <w:p w:rsidR="00AD5942" w:rsidRPr="00AD5942" w:rsidRDefault="00AD5942" w:rsidP="00AD5942">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AD5942">
        <w:rPr>
          <w:rFonts w:ascii="Calibri" w:eastAsia="Calibri" w:hAnsi="Calibri" w:cs="Calibri"/>
          <w:i/>
          <w:sz w:val="22"/>
          <w:szCs w:val="22"/>
          <w:u w:color="000000"/>
          <w:bdr w:val="nil"/>
          <w:lang w:eastAsia="en-GB"/>
        </w:rPr>
        <w:t xml:space="preserve">The current emphasis is on two sets of existing instruments, i.e. the regional seas protocols and the ILO Maritime and Fisheries Conventions, while it evidently omits other significant international instruments such as e.g. the IMO Conventions as well as a range of international fisheries governance instruments including in particular the CCRF, associated Technical Guidelines and International Plans of Action, Compliance Agreement and Port State Measures. </w:t>
      </w:r>
    </w:p>
    <w:p w:rsidR="00AD5942" w:rsidRPr="00AD5942" w:rsidRDefault="00AD5942" w:rsidP="00AD5942">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AD5942">
        <w:rPr>
          <w:rFonts w:ascii="Calibri" w:eastAsia="Calibri" w:hAnsi="Calibri" w:cs="Calibri"/>
          <w:i/>
          <w:sz w:val="22"/>
          <w:szCs w:val="22"/>
          <w:u w:color="000000"/>
          <w:bdr w:val="nil"/>
          <w:lang w:eastAsia="en-GB"/>
        </w:rPr>
        <w:t>FAO would therefore propose the following ‘umbrella’ indicator for target 14.c:</w:t>
      </w:r>
    </w:p>
    <w:p w:rsidR="00AD5942" w:rsidRPr="00AD5942" w:rsidRDefault="00AD5942" w:rsidP="00AD5942">
      <w:pPr>
        <w:pBdr>
          <w:top w:val="nil"/>
          <w:left w:val="nil"/>
          <w:bottom w:val="nil"/>
          <w:right w:val="nil"/>
          <w:between w:val="nil"/>
          <w:bar w:val="nil"/>
        </w:pBdr>
        <w:spacing w:after="120" w:line="276" w:lineRule="auto"/>
        <w:ind w:right="-285"/>
        <w:jc w:val="both"/>
        <w:rPr>
          <w:rFonts w:ascii="Calibri" w:eastAsia="Calibri" w:hAnsi="Calibri" w:cs="Calibri"/>
          <w:sz w:val="22"/>
          <w:szCs w:val="22"/>
          <w:u w:color="000000"/>
          <w:bdr w:val="nil"/>
          <w:lang w:eastAsia="en-GB"/>
        </w:rPr>
      </w:pPr>
      <w:r w:rsidRPr="00AD5942">
        <w:rPr>
          <w:rFonts w:ascii="Calibri" w:eastAsia="Calibri" w:hAnsi="Calibri" w:cs="Calibri"/>
          <w:sz w:val="22"/>
          <w:szCs w:val="22"/>
          <w:u w:color="000000"/>
          <w:bdr w:val="nil"/>
          <w:lang w:eastAsia="en-GB"/>
        </w:rPr>
        <w:t>“Number of countries implementing either legally or programmatically the provisions set out in relevant legally binding and voluntary instruments for sustainable use and conservation of the ocean including, instruments related to fisheries, shipping, labour, climate, conservation at global and regional levels”</w:t>
      </w:r>
    </w:p>
    <w:p w:rsidR="00AD5942" w:rsidRPr="00AD5942" w:rsidRDefault="00AD5942" w:rsidP="00AD5942">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AD5942">
        <w:rPr>
          <w:rFonts w:ascii="Calibri" w:eastAsia="Calibri" w:hAnsi="Calibri" w:cs="Calibri"/>
          <w:i/>
          <w:sz w:val="22"/>
          <w:szCs w:val="22"/>
          <w:u w:color="000000"/>
          <w:bdr w:val="nil"/>
          <w:lang w:eastAsia="en-GB"/>
        </w:rPr>
        <w:t>For the fisheries component, FAO would be able to monitor the following sub-indicator:</w:t>
      </w:r>
    </w:p>
    <w:p w:rsidR="00AD5942" w:rsidRPr="00AD5942" w:rsidRDefault="00AD5942" w:rsidP="00AD5942">
      <w:pPr>
        <w:suppressAutoHyphens/>
        <w:spacing w:after="200" w:line="276" w:lineRule="auto"/>
        <w:ind w:right="-285"/>
        <w:jc w:val="both"/>
        <w:rPr>
          <w:rFonts w:ascii="Calibri" w:eastAsia="SimSun" w:hAnsi="Calibri" w:cs="Calibri"/>
          <w:iCs/>
          <w:sz w:val="22"/>
          <w:szCs w:val="22"/>
        </w:rPr>
      </w:pPr>
      <w:r w:rsidRPr="00AD5942">
        <w:rPr>
          <w:rFonts w:ascii="Calibri" w:eastAsia="SimSun" w:hAnsi="Calibri"/>
          <w:sz w:val="22"/>
          <w:szCs w:val="22"/>
        </w:rPr>
        <w:t>“Progress by countries in [level/degree of] implementation of provisions of the Code of Conduct for Responsible Fisheries (CCRF) and associated guidelines and plans, as reported in the biannual CCRF questionnaire surveys”</w:t>
      </w:r>
    </w:p>
    <w:p w:rsidR="00AD5942" w:rsidRPr="00AD5942" w:rsidRDefault="00AD5942" w:rsidP="00AD5942">
      <w:pPr>
        <w:suppressAutoHyphens/>
        <w:spacing w:after="200" w:line="276" w:lineRule="auto"/>
        <w:ind w:right="-285"/>
        <w:jc w:val="both"/>
        <w:rPr>
          <w:rFonts w:ascii="Calibri" w:eastAsia="SimSun" w:hAnsi="Calibri" w:cs="Calibri"/>
          <w:bCs/>
          <w:i/>
          <w:color w:val="00000A"/>
          <w:sz w:val="22"/>
          <w:szCs w:val="22"/>
        </w:rPr>
      </w:pPr>
      <w:r w:rsidRPr="00AD5942">
        <w:rPr>
          <w:rFonts w:ascii="Calibri" w:eastAsia="SimSun" w:hAnsi="Calibri" w:cs="Calibri"/>
          <w:i/>
          <w:iCs/>
          <w:color w:val="00000A"/>
          <w:sz w:val="22"/>
          <w:szCs w:val="22"/>
        </w:rPr>
        <w:t xml:space="preserve">Moreover, FAO is highly concerned that this proposal has been omitted from UNSD priority list and even the full list of proposals of May. The proposed indicator </w:t>
      </w:r>
      <w:r w:rsidRPr="00AD5942">
        <w:rPr>
          <w:rFonts w:ascii="Calibri" w:eastAsia="SimSun" w:hAnsi="Calibri" w:cs="Calibri"/>
          <w:bCs/>
          <w:i/>
          <w:iCs/>
          <w:color w:val="00000A"/>
          <w:sz w:val="22"/>
          <w:szCs w:val="22"/>
        </w:rPr>
        <w:t xml:space="preserve">is highly relevant to fisheries and fisheries governance efforts at global, regional and national levels. The indicator can be considered an established, recognized and operational inter-governmental response indicator. </w:t>
      </w:r>
      <w:r w:rsidRPr="00AD5942">
        <w:rPr>
          <w:rFonts w:ascii="Calibri" w:eastAsia="SimSun" w:hAnsi="Calibri" w:cs="Calibri"/>
          <w:i/>
          <w:color w:val="00000A"/>
          <w:sz w:val="22"/>
          <w:szCs w:val="22"/>
        </w:rPr>
        <w:t>The Implementation of Code of Conduct for Responsible Fisheries, associated Technical Guidelines and International Plans of Action (IPOAs) is probably among the most important global targets in the context of conservation and management of living aquatic resources, for the benefit of fisheries stakeholders, consumers, and many societies worldwide.</w:t>
      </w:r>
      <w:r w:rsidRPr="00AD5942">
        <w:rPr>
          <w:rFonts w:ascii="Calibri" w:eastAsia="SimSun" w:hAnsi="Calibri" w:cs="Calibri"/>
          <w:bCs/>
          <w:i/>
          <w:color w:val="00000A"/>
          <w:sz w:val="22"/>
          <w:szCs w:val="22"/>
        </w:rPr>
        <w:t xml:space="preserve"> Given the existence, recognition and value of the regular inter-governmental CCRF reporting process, it can be expected that the proposed CCRF indicator will deliver reliable and continuous information on progress made in fisheries governance worldwide.  </w:t>
      </w:r>
    </w:p>
    <w:p w:rsidR="00AD5942" w:rsidRPr="00AD5942" w:rsidRDefault="00AD5942" w:rsidP="00AD5942">
      <w:pPr>
        <w:suppressAutoHyphens/>
        <w:spacing w:after="200" w:line="276" w:lineRule="auto"/>
        <w:ind w:right="-285"/>
        <w:jc w:val="both"/>
        <w:rPr>
          <w:rFonts w:ascii="Calibri" w:eastAsia="SimSun" w:hAnsi="Calibri" w:cs="Calibri"/>
          <w:bCs/>
          <w:i/>
          <w:color w:val="00000A"/>
          <w:sz w:val="22"/>
          <w:szCs w:val="22"/>
        </w:rPr>
      </w:pPr>
      <w:r w:rsidRPr="00AD5942">
        <w:rPr>
          <w:rFonts w:ascii="Calibri" w:eastAsia="SimSun" w:hAnsi="Calibri" w:cs="Calibri"/>
          <w:bCs/>
          <w:i/>
          <w:color w:val="00000A"/>
          <w:sz w:val="22"/>
          <w:szCs w:val="22"/>
        </w:rPr>
        <w:t>Governments are committed to report biannually to the FAO Committee on Fisheries (COFI) on progress made in their efforts of implementing the CCRF. The reporting on CCRF implementation, started in 1996, is an established, cost-effective and recognized process, which governments, fisheries and other stakeholders, IGOs and CSOs have accepted and supported as one of the most significant frameworks for global fisheries governance, in the context of implementation of UNCLOS and other international instruments as relevant to Goal 14.</w:t>
      </w:r>
    </w:p>
    <w:p w:rsidR="00AD5942" w:rsidRPr="00AD5942" w:rsidRDefault="00AD5942" w:rsidP="00AD5942">
      <w:pPr>
        <w:suppressAutoHyphens/>
        <w:spacing w:after="200" w:line="276" w:lineRule="auto"/>
        <w:ind w:right="-285"/>
        <w:jc w:val="both"/>
        <w:rPr>
          <w:rFonts w:ascii="Calibri" w:eastAsia="SimSun" w:hAnsi="Calibri" w:cs="Calibri"/>
          <w:bCs/>
          <w:i/>
          <w:color w:val="00000A"/>
          <w:sz w:val="22"/>
          <w:szCs w:val="22"/>
        </w:rPr>
      </w:pPr>
      <w:r w:rsidRPr="00AD5942">
        <w:rPr>
          <w:rFonts w:ascii="Calibri" w:eastAsia="SimSun" w:hAnsi="Calibri" w:cs="Calibri"/>
          <w:bCs/>
          <w:i/>
          <w:color w:val="00000A"/>
          <w:sz w:val="22"/>
          <w:szCs w:val="22"/>
        </w:rPr>
        <w:t xml:space="preserve">For a full methodological factsheet of the proposed indicator, please see below. </w:t>
      </w:r>
    </w:p>
    <w:p w:rsidR="00AD5942" w:rsidRPr="00AD5942" w:rsidRDefault="00AD5942" w:rsidP="00AD5942">
      <w:pPr>
        <w:rPr>
          <w:rFonts w:eastAsia="SimSun" w:cs="Calibri"/>
          <w:color w:val="00000A"/>
          <w:szCs w:val="22"/>
        </w:rPr>
      </w:pPr>
      <w:r w:rsidRPr="00AD5942">
        <w:rPr>
          <w:rFonts w:eastAsia="SimSun" w:cs="Calibri"/>
          <w:color w:val="00000A"/>
          <w:szCs w:val="22"/>
        </w:rPr>
        <w:br w:type="page"/>
      </w:r>
    </w:p>
    <w:bookmarkStart w:id="10" w:name="Indicator_14_c_1"/>
    <w:p w:rsidR="00AD5942" w:rsidRPr="00AD5942" w:rsidRDefault="00AD5942" w:rsidP="00AD5942">
      <w:pPr>
        <w:shd w:val="clear" w:color="auto" w:fill="99FF99"/>
        <w:spacing w:after="200" w:line="276" w:lineRule="auto"/>
        <w:ind w:right="-285"/>
        <w:jc w:val="center"/>
        <w:rPr>
          <w:rFonts w:ascii="Calibri" w:eastAsia="SimSun" w:hAnsi="Calibri"/>
          <w:b/>
          <w:color w:val="auto"/>
        </w:rPr>
      </w:pPr>
      <w:r w:rsidRPr="00AD5942">
        <w:rPr>
          <w:rFonts w:eastAsia="SimSun" w:cs="Calibri"/>
          <w:color w:val="auto"/>
          <w:szCs w:val="22"/>
        </w:rPr>
        <w:lastRenderedPageBreak/>
        <w:fldChar w:fldCharType="begin"/>
      </w:r>
      <w:r w:rsidRPr="00AD5942">
        <w:rPr>
          <w:rFonts w:eastAsia="SimSun" w:cs="Calibri"/>
          <w:color w:val="auto"/>
          <w:szCs w:val="22"/>
        </w:rPr>
        <w:instrText>HYPERLINK \l "List_of_indicators"</w:instrText>
      </w:r>
      <w:r w:rsidRPr="00AD5942">
        <w:rPr>
          <w:rFonts w:eastAsia="SimSun" w:cs="Calibri"/>
          <w:color w:val="auto"/>
          <w:szCs w:val="22"/>
        </w:rPr>
        <w:fldChar w:fldCharType="separate"/>
      </w:r>
      <w:r w:rsidRPr="00AD5942">
        <w:rPr>
          <w:rFonts w:ascii="Calibri" w:eastAsia="SimSun" w:hAnsi="Calibri"/>
          <w:b/>
          <w:color w:val="auto"/>
        </w:rPr>
        <w:t>Indicator 14.c.1</w:t>
      </w:r>
      <w:r w:rsidRPr="00AD5942">
        <w:rPr>
          <w:rFonts w:eastAsia="SimSun" w:cs="Calibri"/>
          <w:color w:val="auto"/>
          <w:szCs w:val="22"/>
        </w:rPr>
        <w:fldChar w:fldCharType="end"/>
      </w:r>
      <w:r w:rsidRPr="00AD5942">
        <w:rPr>
          <w:rFonts w:ascii="Calibri" w:eastAsia="SimSun" w:hAnsi="Calibri"/>
          <w:b/>
          <w:color w:val="auto"/>
        </w:rPr>
        <w:t xml:space="preserve"> (</w:t>
      </w:r>
      <w:bookmarkEnd w:id="10"/>
      <w:r w:rsidRPr="00AD5942">
        <w:rPr>
          <w:rFonts w:ascii="Calibri" w:eastAsia="SimSun" w:hAnsi="Calibri"/>
          <w:b/>
          <w:color w:val="auto"/>
        </w:rPr>
        <w:t>Core)</w:t>
      </w:r>
      <w:r w:rsidRPr="00AD5942">
        <w:rPr>
          <w:rFonts w:ascii="Calibri" w:eastAsia="SimSun" w:hAnsi="Calibri"/>
          <w:b/>
          <w:color w:val="auto"/>
        </w:rPr>
        <w:br/>
        <w:t>“</w:t>
      </w:r>
      <w:r w:rsidRPr="00AD5942">
        <w:rPr>
          <w:rFonts w:ascii="Calibri" w:eastAsia="SimSun" w:hAnsi="Calibri"/>
          <w:color w:val="auto"/>
        </w:rPr>
        <w:t>Progress by countries in [level/degree of] implementation of provisions of the Code of Conduct for Responsible Fisheries (CCRF) and associated guidelines and plans, as reported in the biannual CCRF questionnaire surveys</w:t>
      </w:r>
      <w:r w:rsidRPr="00AD5942">
        <w:rPr>
          <w:rFonts w:ascii="Calibri" w:eastAsia="SimSun" w:hAnsi="Calibri"/>
          <w:b/>
          <w:color w:val="auto"/>
        </w:rPr>
        <w:t>”</w:t>
      </w:r>
    </w:p>
    <w:p w:rsidR="00AD5942" w:rsidRPr="00AD5942" w:rsidRDefault="00AD5942" w:rsidP="00AD5942">
      <w:pPr>
        <w:keepNext/>
        <w:keepLines/>
        <w:spacing w:before="240"/>
        <w:ind w:left="714" w:right="-285"/>
        <w:jc w:val="both"/>
        <w:outlineLvl w:val="0"/>
        <w:rPr>
          <w:rFonts w:ascii="Calibri" w:eastAsia="Times New Roman" w:hAnsi="Calibri"/>
          <w:b/>
          <w:bCs/>
          <w:color w:val="auto"/>
          <w:sz w:val="16"/>
          <w:szCs w:val="22"/>
        </w:rPr>
      </w:pPr>
    </w:p>
    <w:p w:rsidR="00AD5942" w:rsidRPr="00AD5942" w:rsidRDefault="00AD5942" w:rsidP="00AD5942">
      <w:pPr>
        <w:keepNext/>
        <w:keepLines/>
        <w:numPr>
          <w:ilvl w:val="0"/>
          <w:numId w:val="7"/>
        </w:numPr>
        <w:suppressAutoHyphens/>
        <w:spacing w:before="240" w:after="200" w:line="276" w:lineRule="auto"/>
        <w:ind w:left="714" w:right="-285" w:hanging="357"/>
        <w:jc w:val="both"/>
        <w:outlineLvl w:val="0"/>
        <w:rPr>
          <w:rFonts w:ascii="Calibri" w:eastAsia="Times New Roman" w:hAnsi="Calibri"/>
          <w:b/>
          <w:bCs/>
          <w:color w:val="auto"/>
          <w:sz w:val="22"/>
          <w:szCs w:val="22"/>
        </w:rPr>
      </w:pPr>
      <w:r w:rsidRPr="00AD5942">
        <w:rPr>
          <w:rFonts w:ascii="Calibri" w:eastAsia="Times New Roman" w:hAnsi="Calibri"/>
          <w:b/>
          <w:bCs/>
          <w:iCs/>
          <w:color w:val="auto"/>
          <w:sz w:val="22"/>
          <w:szCs w:val="22"/>
        </w:rPr>
        <w:t>Precise</w:t>
      </w:r>
      <w:r w:rsidRPr="00AD5942">
        <w:rPr>
          <w:rFonts w:ascii="Calibri" w:eastAsia="Times New Roman" w:hAnsi="Calibri"/>
          <w:b/>
          <w:bCs/>
          <w:color w:val="auto"/>
          <w:sz w:val="22"/>
          <w:szCs w:val="22"/>
        </w:rPr>
        <w:t xml:space="preserve"> definition of the indicator</w:t>
      </w:r>
    </w:p>
    <w:p w:rsidR="00AD5942" w:rsidRPr="00AD5942" w:rsidRDefault="00AD5942" w:rsidP="00AD5942">
      <w:pPr>
        <w:keepNext/>
        <w:keepLines/>
        <w:spacing w:before="240" w:after="200"/>
        <w:ind w:left="714" w:right="-285"/>
        <w:jc w:val="both"/>
        <w:outlineLvl w:val="0"/>
        <w:rPr>
          <w:rFonts w:ascii="Calibri" w:eastAsia="Times New Roman" w:hAnsi="Calibri"/>
          <w:b/>
          <w:bCs/>
          <w:color w:val="auto"/>
          <w:sz w:val="2"/>
          <w:szCs w:val="22"/>
        </w:rPr>
      </w:pPr>
    </w:p>
    <w:p w:rsidR="00AD5942" w:rsidRPr="00AD5942" w:rsidRDefault="00AD5942" w:rsidP="00AD5942">
      <w:pPr>
        <w:keepNext/>
        <w:keepLines/>
        <w:spacing w:before="120" w:line="276" w:lineRule="auto"/>
        <w:ind w:right="-285"/>
        <w:jc w:val="both"/>
        <w:outlineLvl w:val="0"/>
        <w:rPr>
          <w:rFonts w:ascii="Calibri" w:eastAsia="Calibri" w:hAnsi="Calibri"/>
          <w:color w:val="auto"/>
          <w:sz w:val="22"/>
          <w:szCs w:val="22"/>
        </w:rPr>
      </w:pPr>
      <w:r w:rsidRPr="00AD5942">
        <w:rPr>
          <w:rFonts w:ascii="Calibri" w:eastAsia="Calibri" w:hAnsi="Calibri"/>
          <w:color w:val="auto"/>
          <w:sz w:val="22"/>
          <w:szCs w:val="22"/>
        </w:rPr>
        <w:t>This indicator aims to assess progress made in the adoption of sustainable practices pertaining to fisheries/aquaculture. It is a composite indicator based on FAO member country responses to the CCRF questionnaire which is circulated by FAO every 2 years to members and IGOs and INGOs. It considers countries’ implementation of fisheries management plans, execution of fish stock assessments, the use of environmental assessments and monitoring of aquaculture operations, as well as reported uptake set of selected practices deemed to be sustainable such as: an ecosystems approach to fisheries, coastal area management, and management of bycatch, among others.</w:t>
      </w:r>
    </w:p>
    <w:p w:rsidR="00AD5942" w:rsidRPr="00AD5942" w:rsidRDefault="00AD5942" w:rsidP="00AD5942">
      <w:pPr>
        <w:keepNext/>
        <w:keepLines/>
        <w:spacing w:before="120" w:line="276" w:lineRule="auto"/>
        <w:ind w:right="-285"/>
        <w:jc w:val="both"/>
        <w:outlineLvl w:val="0"/>
        <w:rPr>
          <w:rFonts w:ascii="Calibri" w:eastAsia="Calibri" w:hAnsi="Calibri"/>
          <w:color w:val="auto"/>
          <w:sz w:val="22"/>
          <w:szCs w:val="22"/>
        </w:rPr>
      </w:pPr>
      <w:r w:rsidRPr="00AD5942">
        <w:rPr>
          <w:rFonts w:ascii="Calibri" w:eastAsia="Calibri" w:hAnsi="Calibri"/>
          <w:color w:val="auto"/>
          <w:sz w:val="22"/>
          <w:szCs w:val="22"/>
        </w:rPr>
        <w:t xml:space="preserve">This indicator is calculated as number of countries that are implementing provisions of the CCRF and associated plans and guidelines resulting in the application of more sustainable fisheries/aquaculture practices in a given year of the survey. </w:t>
      </w:r>
      <w:proofErr w:type="gramStart"/>
      <w:r w:rsidRPr="00AD5942">
        <w:rPr>
          <w:rFonts w:ascii="Calibri" w:eastAsia="Calibri" w:hAnsi="Calibri"/>
          <w:color w:val="auto"/>
          <w:sz w:val="22"/>
          <w:szCs w:val="22"/>
        </w:rPr>
        <w:t>Difference in score as compared to the preceding year of the previous survey response reflect</w:t>
      </w:r>
      <w:proofErr w:type="gramEnd"/>
      <w:r w:rsidRPr="00AD5942">
        <w:rPr>
          <w:rFonts w:ascii="Calibri" w:eastAsia="Calibri" w:hAnsi="Calibri"/>
          <w:color w:val="auto"/>
          <w:sz w:val="22"/>
          <w:szCs w:val="22"/>
        </w:rPr>
        <w:t xml:space="preserve"> the progress made during two survey periods. Those countries that score within the High or Medium-High categories on the following ranking scale</w:t>
      </w:r>
      <w:r w:rsidRPr="00AD5942">
        <w:rPr>
          <w:rFonts w:ascii="Calibri" w:eastAsia="Calibri" w:hAnsi="Calibri"/>
          <w:color w:val="auto"/>
          <w:sz w:val="22"/>
          <w:szCs w:val="22"/>
          <w:vertAlign w:val="superscript"/>
        </w:rPr>
        <w:footnoteReference w:id="8"/>
      </w:r>
      <w:r w:rsidRPr="00AD5942">
        <w:rPr>
          <w:rFonts w:ascii="Calibri" w:eastAsia="Calibri" w:hAnsi="Calibri"/>
          <w:color w:val="auto"/>
          <w:sz w:val="22"/>
          <w:szCs w:val="22"/>
          <w:vertAlign w:val="superscript"/>
        </w:rPr>
        <w:t xml:space="preserve"> </w:t>
      </w:r>
      <w:r w:rsidRPr="00AD5942">
        <w:rPr>
          <w:rFonts w:ascii="Calibri" w:eastAsia="Calibri" w:hAnsi="Calibri"/>
          <w:color w:val="auto"/>
          <w:sz w:val="22"/>
          <w:szCs w:val="22"/>
        </w:rPr>
        <w:t xml:space="preserve">of the index in question are considered to “apply more sustainable fisheries/aquaculture practices”: </w:t>
      </w:r>
    </w:p>
    <w:p w:rsidR="00AD5942" w:rsidRPr="00AD5942" w:rsidRDefault="00AD5942" w:rsidP="00AD5942">
      <w:pPr>
        <w:spacing w:after="200" w:line="276" w:lineRule="auto"/>
        <w:ind w:right="-285"/>
        <w:jc w:val="both"/>
        <w:rPr>
          <w:rFonts w:ascii="Calibri" w:eastAsia="Calibri" w:hAnsi="Calibri"/>
          <w:color w:val="auto"/>
          <w:sz w:val="18"/>
          <w:szCs w:val="18"/>
        </w:rPr>
      </w:pPr>
    </w:p>
    <w:tbl>
      <w:tblPr>
        <w:tblW w:w="6186" w:type="dxa"/>
        <w:jc w:val="center"/>
        <w:tblLook w:val="04A0" w:firstRow="1" w:lastRow="0" w:firstColumn="1" w:lastColumn="0" w:noHBand="0" w:noVBand="1"/>
      </w:tblPr>
      <w:tblGrid>
        <w:gridCol w:w="832"/>
        <w:gridCol w:w="1792"/>
        <w:gridCol w:w="858"/>
        <w:gridCol w:w="747"/>
        <w:gridCol w:w="299"/>
        <w:gridCol w:w="1045"/>
        <w:gridCol w:w="613"/>
      </w:tblGrid>
      <w:tr w:rsidR="00AD5942" w:rsidRPr="00AD5942" w:rsidTr="00CB74FD">
        <w:trPr>
          <w:trHeight w:val="77"/>
          <w:jc w:val="center"/>
        </w:trPr>
        <w:tc>
          <w:tcPr>
            <w:tcW w:w="6186" w:type="dxa"/>
            <w:gridSpan w:val="7"/>
            <w:tcBorders>
              <w:top w:val="single" w:sz="4" w:space="0" w:color="auto"/>
              <w:left w:val="single" w:sz="4" w:space="0" w:color="auto"/>
              <w:bottom w:val="nil"/>
              <w:right w:val="single" w:sz="4" w:space="0" w:color="000000"/>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b/>
                <w:bCs/>
                <w:sz w:val="20"/>
              </w:rPr>
            </w:pPr>
            <w:r w:rsidRPr="00AD5942">
              <w:rPr>
                <w:rFonts w:ascii="Calibri" w:eastAsia="Calibri" w:hAnsi="Calibri"/>
                <w:b/>
                <w:bCs/>
                <w:sz w:val="20"/>
                <w:szCs w:val="22"/>
              </w:rPr>
              <w:t>Ranking scale (possible score on Index):</w:t>
            </w:r>
          </w:p>
        </w:tc>
      </w:tr>
      <w:tr w:rsidR="00AD5942" w:rsidRPr="00AD5942" w:rsidTr="00CB74FD">
        <w:trPr>
          <w:trHeight w:val="499"/>
          <w:jc w:val="center"/>
        </w:trPr>
        <w:tc>
          <w:tcPr>
            <w:tcW w:w="832" w:type="dxa"/>
            <w:tcBorders>
              <w:top w:val="nil"/>
              <w:left w:val="single" w:sz="4" w:space="0" w:color="auto"/>
              <w:bottom w:val="single" w:sz="4" w:space="0" w:color="auto"/>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b/>
                <w:bCs/>
                <w:sz w:val="16"/>
                <w:szCs w:val="18"/>
              </w:rPr>
            </w:pPr>
            <w:r w:rsidRPr="00AD5942">
              <w:rPr>
                <w:rFonts w:ascii="Calibri" w:eastAsia="Calibri" w:hAnsi="Calibri"/>
                <w:b/>
                <w:bCs/>
                <w:sz w:val="16"/>
                <w:szCs w:val="18"/>
              </w:rPr>
              <w:t>Symbol</w:t>
            </w:r>
          </w:p>
        </w:tc>
        <w:tc>
          <w:tcPr>
            <w:tcW w:w="1792" w:type="dxa"/>
            <w:tcBorders>
              <w:top w:val="nil"/>
              <w:left w:val="nil"/>
              <w:bottom w:val="single" w:sz="4" w:space="0" w:color="auto"/>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b/>
                <w:bCs/>
                <w:sz w:val="16"/>
                <w:szCs w:val="18"/>
              </w:rPr>
            </w:pPr>
            <w:r w:rsidRPr="00AD5942">
              <w:rPr>
                <w:rFonts w:ascii="Calibri" w:eastAsia="Calibri" w:hAnsi="Calibri"/>
                <w:b/>
                <w:bCs/>
                <w:sz w:val="16"/>
                <w:szCs w:val="18"/>
              </w:rPr>
              <w:t>Category</w:t>
            </w:r>
          </w:p>
        </w:tc>
        <w:tc>
          <w:tcPr>
            <w:tcW w:w="1904" w:type="dxa"/>
            <w:gridSpan w:val="3"/>
            <w:tcBorders>
              <w:top w:val="nil"/>
              <w:left w:val="nil"/>
              <w:bottom w:val="single" w:sz="4" w:space="0" w:color="auto"/>
              <w:right w:val="nil"/>
            </w:tcBorders>
            <w:shd w:val="clear" w:color="auto" w:fill="auto"/>
            <w:vAlign w:val="bottom"/>
            <w:hideMark/>
          </w:tcPr>
          <w:p w:rsidR="00AD5942" w:rsidRPr="00AD5942" w:rsidRDefault="00AD5942" w:rsidP="00AD5942">
            <w:pPr>
              <w:spacing w:after="200" w:line="276" w:lineRule="auto"/>
              <w:ind w:right="-285"/>
              <w:jc w:val="both"/>
              <w:rPr>
                <w:rFonts w:ascii="Calibri" w:eastAsia="Calibri" w:hAnsi="Calibri"/>
                <w:b/>
                <w:bCs/>
                <w:sz w:val="16"/>
                <w:szCs w:val="18"/>
              </w:rPr>
            </w:pPr>
            <w:r w:rsidRPr="00AD5942">
              <w:rPr>
                <w:rFonts w:ascii="Calibri" w:eastAsia="Calibri" w:hAnsi="Calibri"/>
                <w:b/>
                <w:bCs/>
                <w:sz w:val="16"/>
                <w:szCs w:val="18"/>
              </w:rPr>
              <w:t>Lower boundary</w:t>
            </w:r>
          </w:p>
        </w:tc>
        <w:tc>
          <w:tcPr>
            <w:tcW w:w="1658" w:type="dxa"/>
            <w:gridSpan w:val="2"/>
            <w:tcBorders>
              <w:top w:val="nil"/>
              <w:left w:val="nil"/>
              <w:bottom w:val="single" w:sz="4" w:space="0" w:color="auto"/>
              <w:right w:val="single" w:sz="4" w:space="0" w:color="000000"/>
            </w:tcBorders>
            <w:shd w:val="clear" w:color="auto" w:fill="auto"/>
            <w:vAlign w:val="bottom"/>
            <w:hideMark/>
          </w:tcPr>
          <w:p w:rsidR="00AD5942" w:rsidRPr="00AD5942" w:rsidRDefault="00AD5942" w:rsidP="00AD5942">
            <w:pPr>
              <w:spacing w:after="200" w:line="276" w:lineRule="auto"/>
              <w:ind w:right="-285"/>
              <w:jc w:val="both"/>
              <w:rPr>
                <w:rFonts w:ascii="Calibri" w:eastAsia="Calibri" w:hAnsi="Calibri"/>
                <w:b/>
                <w:bCs/>
                <w:sz w:val="16"/>
                <w:szCs w:val="18"/>
              </w:rPr>
            </w:pPr>
            <w:r w:rsidRPr="00AD5942">
              <w:rPr>
                <w:rFonts w:ascii="Calibri" w:eastAsia="Calibri" w:hAnsi="Calibri"/>
                <w:b/>
                <w:bCs/>
                <w:sz w:val="16"/>
                <w:szCs w:val="18"/>
              </w:rPr>
              <w:t>Upper boundary</w:t>
            </w:r>
          </w:p>
        </w:tc>
      </w:tr>
      <w:tr w:rsidR="00AD5942" w:rsidRPr="00AD5942" w:rsidTr="00CB74FD">
        <w:trPr>
          <w:trHeight w:val="333"/>
          <w:jc w:val="center"/>
        </w:trPr>
        <w:tc>
          <w:tcPr>
            <w:tcW w:w="832" w:type="dxa"/>
            <w:tcBorders>
              <w:top w:val="nil"/>
              <w:left w:val="single" w:sz="4" w:space="0" w:color="auto"/>
              <w:bottom w:val="nil"/>
              <w:right w:val="nil"/>
            </w:tcBorders>
            <w:shd w:val="clear" w:color="000000" w:fill="00B050"/>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 </w:t>
            </w:r>
          </w:p>
        </w:tc>
        <w:tc>
          <w:tcPr>
            <w:tcW w:w="1792"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color w:val="FF0000"/>
                <w:sz w:val="16"/>
                <w:szCs w:val="22"/>
              </w:rPr>
              <w:t xml:space="preserve">High </w:t>
            </w:r>
            <w:r w:rsidRPr="00AD5942">
              <w:rPr>
                <w:rFonts w:ascii="Calibri" w:eastAsia="Calibri" w:hAnsi="Calibri"/>
                <w:sz w:val="16"/>
                <w:szCs w:val="22"/>
              </w:rPr>
              <w:t xml:space="preserve">                             =</w:t>
            </w:r>
          </w:p>
        </w:tc>
        <w:tc>
          <w:tcPr>
            <w:tcW w:w="858"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w:t>
            </w:r>
          </w:p>
        </w:tc>
        <w:tc>
          <w:tcPr>
            <w:tcW w:w="747"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0.85</w:t>
            </w:r>
          </w:p>
        </w:tc>
        <w:tc>
          <w:tcPr>
            <w:tcW w:w="1344" w:type="dxa"/>
            <w:gridSpan w:val="2"/>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&lt;</w:t>
            </w:r>
          </w:p>
        </w:tc>
        <w:tc>
          <w:tcPr>
            <w:tcW w:w="612" w:type="dxa"/>
            <w:tcBorders>
              <w:top w:val="nil"/>
              <w:left w:val="nil"/>
              <w:bottom w:val="nil"/>
              <w:right w:val="single" w:sz="4" w:space="0" w:color="auto"/>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1.000</w:t>
            </w:r>
          </w:p>
        </w:tc>
      </w:tr>
      <w:tr w:rsidR="00AD5942" w:rsidRPr="00AD5942" w:rsidTr="00CB74FD">
        <w:trPr>
          <w:trHeight w:val="333"/>
          <w:jc w:val="center"/>
        </w:trPr>
        <w:tc>
          <w:tcPr>
            <w:tcW w:w="832" w:type="dxa"/>
            <w:tcBorders>
              <w:top w:val="nil"/>
              <w:left w:val="single" w:sz="4" w:space="0" w:color="auto"/>
              <w:bottom w:val="nil"/>
              <w:right w:val="nil"/>
            </w:tcBorders>
            <w:shd w:val="clear" w:color="000000" w:fill="92D050"/>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 </w:t>
            </w:r>
          </w:p>
        </w:tc>
        <w:tc>
          <w:tcPr>
            <w:tcW w:w="1792"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color w:val="FF0000"/>
                <w:sz w:val="16"/>
                <w:szCs w:val="22"/>
              </w:rPr>
              <w:t xml:space="preserve">Medium-high              </w:t>
            </w:r>
            <w:r w:rsidRPr="00AD5942">
              <w:rPr>
                <w:rFonts w:ascii="Calibri" w:eastAsia="Calibri" w:hAnsi="Calibri"/>
                <w:sz w:val="16"/>
                <w:szCs w:val="22"/>
              </w:rPr>
              <w:t>=</w:t>
            </w:r>
          </w:p>
        </w:tc>
        <w:tc>
          <w:tcPr>
            <w:tcW w:w="858"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w:t>
            </w:r>
          </w:p>
        </w:tc>
        <w:tc>
          <w:tcPr>
            <w:tcW w:w="747"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0.7</w:t>
            </w:r>
          </w:p>
        </w:tc>
        <w:tc>
          <w:tcPr>
            <w:tcW w:w="1344" w:type="dxa"/>
            <w:gridSpan w:val="2"/>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&lt;</w:t>
            </w:r>
          </w:p>
        </w:tc>
        <w:tc>
          <w:tcPr>
            <w:tcW w:w="612" w:type="dxa"/>
            <w:tcBorders>
              <w:top w:val="nil"/>
              <w:left w:val="nil"/>
              <w:bottom w:val="nil"/>
              <w:right w:val="single" w:sz="4" w:space="0" w:color="auto"/>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0.85</w:t>
            </w:r>
          </w:p>
        </w:tc>
      </w:tr>
      <w:tr w:rsidR="00AD5942" w:rsidRPr="00AD5942" w:rsidTr="00CB74FD">
        <w:trPr>
          <w:trHeight w:val="333"/>
          <w:jc w:val="center"/>
        </w:trPr>
        <w:tc>
          <w:tcPr>
            <w:tcW w:w="832" w:type="dxa"/>
            <w:tcBorders>
              <w:top w:val="nil"/>
              <w:left w:val="single" w:sz="4" w:space="0" w:color="auto"/>
              <w:bottom w:val="nil"/>
              <w:right w:val="nil"/>
            </w:tcBorders>
            <w:shd w:val="clear" w:color="000000" w:fill="FFFF00"/>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 </w:t>
            </w:r>
          </w:p>
        </w:tc>
        <w:tc>
          <w:tcPr>
            <w:tcW w:w="1792"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Medium                       =</w:t>
            </w:r>
          </w:p>
        </w:tc>
        <w:tc>
          <w:tcPr>
            <w:tcW w:w="858"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w:t>
            </w:r>
          </w:p>
        </w:tc>
        <w:tc>
          <w:tcPr>
            <w:tcW w:w="747"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0.55</w:t>
            </w:r>
          </w:p>
        </w:tc>
        <w:tc>
          <w:tcPr>
            <w:tcW w:w="1344" w:type="dxa"/>
            <w:gridSpan w:val="2"/>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&lt;</w:t>
            </w:r>
          </w:p>
        </w:tc>
        <w:tc>
          <w:tcPr>
            <w:tcW w:w="612" w:type="dxa"/>
            <w:tcBorders>
              <w:top w:val="nil"/>
              <w:left w:val="nil"/>
              <w:bottom w:val="nil"/>
              <w:right w:val="single" w:sz="4" w:space="0" w:color="auto"/>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0.7</w:t>
            </w:r>
          </w:p>
        </w:tc>
      </w:tr>
      <w:tr w:rsidR="00AD5942" w:rsidRPr="00AD5942" w:rsidTr="00CB74FD">
        <w:trPr>
          <w:trHeight w:val="333"/>
          <w:jc w:val="center"/>
        </w:trPr>
        <w:tc>
          <w:tcPr>
            <w:tcW w:w="832" w:type="dxa"/>
            <w:tcBorders>
              <w:top w:val="nil"/>
              <w:left w:val="single" w:sz="4" w:space="0" w:color="auto"/>
              <w:bottom w:val="nil"/>
              <w:right w:val="nil"/>
            </w:tcBorders>
            <w:shd w:val="clear" w:color="000000" w:fill="FFC000"/>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 </w:t>
            </w:r>
          </w:p>
        </w:tc>
        <w:tc>
          <w:tcPr>
            <w:tcW w:w="1792"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Medium-low               =</w:t>
            </w:r>
          </w:p>
        </w:tc>
        <w:tc>
          <w:tcPr>
            <w:tcW w:w="858"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w:t>
            </w:r>
          </w:p>
        </w:tc>
        <w:tc>
          <w:tcPr>
            <w:tcW w:w="747" w:type="dxa"/>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0.4</w:t>
            </w:r>
          </w:p>
        </w:tc>
        <w:tc>
          <w:tcPr>
            <w:tcW w:w="1344" w:type="dxa"/>
            <w:gridSpan w:val="2"/>
            <w:tcBorders>
              <w:top w:val="nil"/>
              <w:left w:val="nil"/>
              <w:bottom w:val="nil"/>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&lt;</w:t>
            </w:r>
          </w:p>
        </w:tc>
        <w:tc>
          <w:tcPr>
            <w:tcW w:w="612" w:type="dxa"/>
            <w:tcBorders>
              <w:top w:val="nil"/>
              <w:left w:val="nil"/>
              <w:bottom w:val="nil"/>
              <w:right w:val="single" w:sz="4" w:space="0" w:color="auto"/>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0.55</w:t>
            </w:r>
          </w:p>
        </w:tc>
      </w:tr>
      <w:tr w:rsidR="00AD5942" w:rsidRPr="00AD5942" w:rsidTr="00CB74FD">
        <w:trPr>
          <w:trHeight w:val="333"/>
          <w:jc w:val="center"/>
        </w:trPr>
        <w:tc>
          <w:tcPr>
            <w:tcW w:w="832" w:type="dxa"/>
            <w:tcBorders>
              <w:top w:val="nil"/>
              <w:left w:val="single" w:sz="4" w:space="0" w:color="auto"/>
              <w:bottom w:val="single" w:sz="4" w:space="0" w:color="auto"/>
              <w:right w:val="nil"/>
            </w:tcBorders>
            <w:shd w:val="clear" w:color="000000" w:fill="FF0000"/>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 </w:t>
            </w:r>
          </w:p>
        </w:tc>
        <w:tc>
          <w:tcPr>
            <w:tcW w:w="1792" w:type="dxa"/>
            <w:tcBorders>
              <w:top w:val="nil"/>
              <w:left w:val="nil"/>
              <w:bottom w:val="single" w:sz="4" w:space="0" w:color="auto"/>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Low                               =</w:t>
            </w:r>
          </w:p>
        </w:tc>
        <w:tc>
          <w:tcPr>
            <w:tcW w:w="858" w:type="dxa"/>
            <w:tcBorders>
              <w:top w:val="nil"/>
              <w:left w:val="nil"/>
              <w:bottom w:val="single" w:sz="4" w:space="0" w:color="auto"/>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w:t>
            </w:r>
          </w:p>
        </w:tc>
        <w:tc>
          <w:tcPr>
            <w:tcW w:w="747" w:type="dxa"/>
            <w:tcBorders>
              <w:top w:val="nil"/>
              <w:left w:val="nil"/>
              <w:bottom w:val="single" w:sz="4" w:space="0" w:color="auto"/>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0.0</w:t>
            </w:r>
          </w:p>
        </w:tc>
        <w:tc>
          <w:tcPr>
            <w:tcW w:w="1344" w:type="dxa"/>
            <w:gridSpan w:val="2"/>
            <w:tcBorders>
              <w:top w:val="nil"/>
              <w:left w:val="nil"/>
              <w:bottom w:val="single" w:sz="4" w:space="0" w:color="auto"/>
              <w:right w:val="nil"/>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&lt;</w:t>
            </w:r>
          </w:p>
        </w:tc>
        <w:tc>
          <w:tcPr>
            <w:tcW w:w="612" w:type="dxa"/>
            <w:tcBorders>
              <w:top w:val="nil"/>
              <w:left w:val="nil"/>
              <w:bottom w:val="single" w:sz="4" w:space="0" w:color="auto"/>
              <w:right w:val="single" w:sz="4" w:space="0" w:color="auto"/>
            </w:tcBorders>
            <w:shd w:val="clear" w:color="auto" w:fill="auto"/>
            <w:noWrap/>
            <w:vAlign w:val="bottom"/>
            <w:hideMark/>
          </w:tcPr>
          <w:p w:rsidR="00AD5942" w:rsidRPr="00AD5942" w:rsidRDefault="00AD5942" w:rsidP="00AD5942">
            <w:pPr>
              <w:spacing w:after="200" w:line="276" w:lineRule="auto"/>
              <w:ind w:right="-285"/>
              <w:jc w:val="both"/>
              <w:rPr>
                <w:rFonts w:ascii="Calibri" w:eastAsia="Calibri" w:hAnsi="Calibri"/>
                <w:sz w:val="16"/>
              </w:rPr>
            </w:pPr>
            <w:r w:rsidRPr="00AD5942">
              <w:rPr>
                <w:rFonts w:ascii="Calibri" w:eastAsia="Calibri" w:hAnsi="Calibri"/>
                <w:sz w:val="16"/>
                <w:szCs w:val="22"/>
              </w:rPr>
              <w:t>0.4</w:t>
            </w:r>
          </w:p>
        </w:tc>
      </w:tr>
    </w:tbl>
    <w:p w:rsidR="00AD5942" w:rsidRPr="00AD5942" w:rsidRDefault="00AD5942" w:rsidP="00AD5942">
      <w:pPr>
        <w:spacing w:after="200" w:line="276" w:lineRule="auto"/>
        <w:ind w:right="-285"/>
        <w:jc w:val="both"/>
        <w:rPr>
          <w:rFonts w:ascii="Calibri" w:eastAsia="Calibri" w:hAnsi="Calibri"/>
          <w:color w:val="auto"/>
          <w:sz w:val="18"/>
          <w:szCs w:val="18"/>
        </w:rPr>
      </w:pP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Those countries that score within the Medium or Medium-Low categories on the above ranking scale</w:t>
      </w:r>
      <w:r w:rsidRPr="00AD5942">
        <w:rPr>
          <w:rFonts w:ascii="Calibri" w:eastAsia="Calibri" w:hAnsi="Calibri"/>
          <w:color w:val="auto"/>
          <w:sz w:val="22"/>
          <w:szCs w:val="22"/>
          <w:vertAlign w:val="superscript"/>
        </w:rPr>
        <w:t xml:space="preserve"> </w:t>
      </w:r>
      <w:r w:rsidRPr="00AD5942">
        <w:rPr>
          <w:rFonts w:ascii="Calibri" w:eastAsia="Calibri" w:hAnsi="Calibri"/>
          <w:color w:val="auto"/>
          <w:sz w:val="22"/>
          <w:szCs w:val="22"/>
        </w:rPr>
        <w:t>of the index in question are considered to “advance towards more</w:t>
      </w:r>
      <w:r w:rsidRPr="00AD5942">
        <w:rPr>
          <w:rFonts w:ascii="Calibri" w:eastAsia="Calibri" w:hAnsi="Calibri"/>
          <w:b/>
          <w:bCs/>
          <w:color w:val="auto"/>
          <w:sz w:val="22"/>
          <w:szCs w:val="22"/>
        </w:rPr>
        <w:t xml:space="preserve"> </w:t>
      </w:r>
      <w:r w:rsidRPr="00AD5942">
        <w:rPr>
          <w:rFonts w:ascii="Calibri" w:eastAsia="Calibri" w:hAnsi="Calibri"/>
          <w:color w:val="auto"/>
          <w:sz w:val="22"/>
          <w:szCs w:val="22"/>
        </w:rPr>
        <w:t>sustainable fisheries/aquaculture practices “. Those countries that score within Low category on the above ranking scale</w:t>
      </w:r>
      <w:r w:rsidRPr="00AD5942">
        <w:rPr>
          <w:rFonts w:ascii="Calibri" w:eastAsia="Calibri" w:hAnsi="Calibri"/>
          <w:color w:val="auto"/>
          <w:sz w:val="22"/>
          <w:szCs w:val="22"/>
          <w:vertAlign w:val="superscript"/>
        </w:rPr>
        <w:t xml:space="preserve"> </w:t>
      </w:r>
      <w:r w:rsidRPr="00AD5942">
        <w:rPr>
          <w:rFonts w:ascii="Calibri" w:eastAsia="Calibri" w:hAnsi="Calibri"/>
          <w:color w:val="auto"/>
          <w:sz w:val="22"/>
          <w:szCs w:val="22"/>
        </w:rPr>
        <w:t>of the index in question are considered to “need to improve fisheries/aquaculture practices”.</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The unit of measurement of the indicator is a score on a scale of 0 to 1.  It is computed through an index that assigns scores and weights to a set of questions that countries answer within the Code of Conduct </w:t>
      </w:r>
      <w:r w:rsidRPr="00AD5942">
        <w:rPr>
          <w:rFonts w:ascii="Calibri" w:eastAsia="Calibri" w:hAnsi="Calibri"/>
          <w:color w:val="auto"/>
          <w:sz w:val="22"/>
          <w:szCs w:val="22"/>
        </w:rPr>
        <w:lastRenderedPageBreak/>
        <w:t>of Responsible Fisheries (CCRF)</w:t>
      </w:r>
      <w:r w:rsidRPr="00AD5942">
        <w:rPr>
          <w:rFonts w:ascii="Calibri" w:eastAsia="Calibri" w:hAnsi="Calibri"/>
          <w:color w:val="auto"/>
          <w:sz w:val="22"/>
          <w:szCs w:val="22"/>
          <w:vertAlign w:val="superscript"/>
        </w:rPr>
        <w:footnoteReference w:id="9"/>
      </w:r>
      <w:r w:rsidRPr="00AD5942">
        <w:rPr>
          <w:rFonts w:ascii="Calibri" w:eastAsia="Calibri" w:hAnsi="Calibri"/>
          <w:color w:val="auto"/>
          <w:sz w:val="22"/>
          <w:szCs w:val="22"/>
        </w:rPr>
        <w:t xml:space="preserve"> Questionnaire every 2 years. The national indicator is calculated based on the questions specifically focusing on actual implementation of CCRF as indicated in the Annex.  </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All the questions address different aspects of CCRF and therefore are given the same weight, except two bycatch questions (Q34 and Q35) that are treated as one together. This would give 7 points to capture fishery and 3 points to aquaculture, which are considered as reasonable balance reflecting an extent of required actions. While those questions with no relevance (e.g. marine issues for land-locked countries, aquaculture for countries with no aquaculture production, no relevant fishing for bycatch issues) are not taken into consideration, no response to relevant questions is treated as zero score. </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Total score is standardized to one as an average of responses to relevant questions.   Again, refer to the Annex for the detailed scores/calculations by response.</w:t>
      </w:r>
    </w:p>
    <w:p w:rsidR="00AD5942" w:rsidRPr="00AD5942" w:rsidRDefault="00AD5942" w:rsidP="00AD5942">
      <w:pPr>
        <w:keepNext/>
        <w:keepLines/>
        <w:numPr>
          <w:ilvl w:val="0"/>
          <w:numId w:val="7"/>
        </w:numPr>
        <w:suppressAutoHyphens/>
        <w:spacing w:before="24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How is the indicator linked to the specific TARGET as worded in the OWG Report?</w:t>
      </w:r>
    </w:p>
    <w:p w:rsidR="00AD5942" w:rsidRPr="00AD5942" w:rsidRDefault="00AD5942" w:rsidP="00AD5942">
      <w:pPr>
        <w:keepNext/>
        <w:keepLines/>
        <w:spacing w:before="120" w:line="276" w:lineRule="auto"/>
        <w:ind w:right="-285"/>
        <w:jc w:val="both"/>
        <w:outlineLvl w:val="0"/>
        <w:rPr>
          <w:rFonts w:ascii="Calibri" w:eastAsia="Calibri" w:hAnsi="Calibri"/>
          <w:color w:val="auto"/>
          <w:sz w:val="22"/>
          <w:szCs w:val="22"/>
        </w:rPr>
      </w:pPr>
      <w:r w:rsidRPr="00AD5942">
        <w:rPr>
          <w:rFonts w:ascii="Calibri" w:eastAsia="Calibri" w:hAnsi="Calibri"/>
          <w:color w:val="auto"/>
          <w:sz w:val="22"/>
          <w:szCs w:val="22"/>
        </w:rPr>
        <w:t xml:space="preserve">This indicator is not linked to a specific target, but rather to the theme of Fisheries and Aquaculture (see FAO’s 14 Themes), but it would be specifically relevant for monitoring the mean of implementation 14.c under proposed Goal 14. The CCRF and related instruments caveats the UNCLOS and other international laws targeted under the 14.c. Overall score reflects the extent of implementation of CCRF, i.e. the international laws for the conservation and sustainable use of oceans and their resources, while change of scores in a certain period indicates a progress made.  </w:t>
      </w:r>
    </w:p>
    <w:p w:rsidR="00AD5942" w:rsidRPr="00AD5942" w:rsidRDefault="00AD5942" w:rsidP="00AD5942">
      <w:pPr>
        <w:keepNext/>
        <w:keepLines/>
        <w:numPr>
          <w:ilvl w:val="0"/>
          <w:numId w:val="7"/>
        </w:numPr>
        <w:suppressAutoHyphens/>
        <w:spacing w:before="24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Does the indicator already exist and is it regularly reported?</w:t>
      </w:r>
    </w:p>
    <w:p w:rsidR="00AD5942" w:rsidRPr="00AD5942" w:rsidRDefault="00AD5942" w:rsidP="00AD5942">
      <w:pPr>
        <w:keepNext/>
        <w:keepLines/>
        <w:ind w:left="714" w:right="-285"/>
        <w:jc w:val="both"/>
        <w:outlineLvl w:val="0"/>
        <w:rPr>
          <w:rFonts w:ascii="Calibri" w:eastAsia="Times New Roman" w:hAnsi="Calibri"/>
          <w:b/>
          <w:bCs/>
          <w:iCs/>
          <w:color w:val="auto"/>
          <w:sz w:val="22"/>
          <w:szCs w:val="22"/>
        </w:rPr>
      </w:pP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Yes, the indicator is currently used to monitor the percentage of countries that demonstrate update of sustainable management practices, in terms of the sustainable fisheries/ aquaculture practices, as one of Outcome Indicator of FAO Strategic Objective 2. All underlying data is collected via the Code of Conduct of Responsible Fisheries [CCRF] questionnaire that is administered by FAO’s Fisheries and Aquaculture Department every 2 years. </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The FAO Code of Conduct for Responsible Fisheries is recognized and respected worldwide as the global reference framework for sustainable governance of global fisheries and aquaculture. It provides the globally acknowledged umbrella framework for existing and emerging governance instruments in fisheries, for example also for the recently adopted Voluntary Guidelines for Sustainable Small Scale Fisheries.</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Progress on the implementation of the FAO Code of Conduct for Responsible Fisheries is being reported on by FAO member countries using a self-assessment survey conducted every two years and presented to the biennial sessions of the Committee on Fisheries (COFI). All data is collected via the Code of Conduct of Responsible Fisheries [CCRF] questionnaire that is administered by FAO/FI.</w:t>
      </w: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This response indicator aims to assess progress made in the implementation of the CCRF and in the adoption of more sustainable practices pertaining to fisheries/aquaculture. It is a composite indicator based on country responses to the CCRF questionnaire. It considers countries’ implementation of fisheries management plans, execution of fish stock assessments, the use of environmental </w:t>
      </w:r>
      <w:r w:rsidRPr="00AD5942">
        <w:rPr>
          <w:rFonts w:ascii="Calibri" w:eastAsia="Calibri" w:hAnsi="Calibri"/>
          <w:color w:val="auto"/>
          <w:sz w:val="22"/>
          <w:szCs w:val="22"/>
        </w:rPr>
        <w:lastRenderedPageBreak/>
        <w:t>assessments and monitoring of aquaculture operations, as well as reported uptake set of selected practices deemed to be sustainable such as: an ecosystems approach to fisheries, coastal area management, and management of bycatch, among others.</w:t>
      </w:r>
    </w:p>
    <w:p w:rsidR="00AD5942" w:rsidRPr="00AD5942" w:rsidRDefault="00AD5942" w:rsidP="00AD5942">
      <w:pPr>
        <w:keepNext/>
        <w:keepLines/>
        <w:numPr>
          <w:ilvl w:val="0"/>
          <w:numId w:val="7"/>
        </w:numPr>
        <w:suppressAutoHyphens/>
        <w:spacing w:before="24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Comment on the reliability, potential coverage, comparability across countries, and the possibility to compute the indicator at sub-national level.</w:t>
      </w:r>
    </w:p>
    <w:p w:rsidR="00AD5942" w:rsidRPr="00AD5942" w:rsidRDefault="00AD5942" w:rsidP="00AD5942">
      <w:pPr>
        <w:spacing w:after="200" w:line="276" w:lineRule="auto"/>
        <w:ind w:right="-285"/>
        <w:jc w:val="both"/>
        <w:rPr>
          <w:rFonts w:ascii="Calibri" w:eastAsia="Calibri" w:hAnsi="Calibri"/>
          <w:color w:val="auto"/>
          <w:sz w:val="16"/>
        </w:rPr>
      </w:pP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Reliability</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As long FAO Member Countries do respond to the CCRF Survey, as managed by FI, and responses are reviewed and compiled and presented by FI to COFI, the reliability and comprehensiveness of the global information and data set provided will enjoy significant and growing political recognition among FAO’s Member Countries and the general public.</w:t>
      </w: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Coverage</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It is global, covering all FAO members. </w:t>
      </w: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 xml:space="preserve">Comparability across countries </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It is possible to compare across countries and regions.</w:t>
      </w:r>
    </w:p>
    <w:p w:rsidR="00AD5942" w:rsidRPr="00AD5942" w:rsidRDefault="00AD5942" w:rsidP="00AD5942">
      <w:pPr>
        <w:spacing w:after="200" w:line="276" w:lineRule="auto"/>
        <w:ind w:right="-285"/>
        <w:jc w:val="both"/>
        <w:rPr>
          <w:rFonts w:ascii="Calibri" w:eastAsia="Calibri" w:hAnsi="Calibri"/>
          <w:color w:val="auto"/>
          <w:sz w:val="22"/>
          <w:szCs w:val="22"/>
          <w:u w:val="single"/>
        </w:rPr>
      </w:pPr>
      <w:r w:rsidRPr="00AD5942">
        <w:rPr>
          <w:rFonts w:ascii="Calibri" w:eastAsia="Calibri" w:hAnsi="Calibri"/>
          <w:color w:val="auto"/>
          <w:sz w:val="22"/>
          <w:szCs w:val="22"/>
          <w:u w:val="single"/>
        </w:rPr>
        <w:t>Sub-national estimates</w:t>
      </w:r>
    </w:p>
    <w:p w:rsidR="00AD5942" w:rsidRPr="00AD5942" w:rsidRDefault="00AD5942" w:rsidP="00AD5942">
      <w:pPr>
        <w:spacing w:after="20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Currently not available </w:t>
      </w:r>
    </w:p>
    <w:p w:rsidR="00AD5942" w:rsidRPr="00AD5942" w:rsidRDefault="00AD5942" w:rsidP="00AD5942">
      <w:pPr>
        <w:keepNext/>
        <w:keepLines/>
        <w:numPr>
          <w:ilvl w:val="0"/>
          <w:numId w:val="7"/>
        </w:numPr>
        <w:suppressAutoHyphens/>
        <w:spacing w:before="240" w:after="200" w:line="276" w:lineRule="auto"/>
        <w:ind w:left="714" w:right="-285" w:hanging="357"/>
        <w:jc w:val="both"/>
        <w:outlineLvl w:val="0"/>
        <w:rPr>
          <w:rFonts w:ascii="Calibri" w:eastAsia="Times New Roman" w:hAnsi="Calibri"/>
          <w:b/>
          <w:bCs/>
          <w:iCs/>
          <w:color w:val="auto"/>
          <w:sz w:val="22"/>
          <w:szCs w:val="22"/>
        </w:rPr>
      </w:pPr>
      <w:r w:rsidRPr="00AD5942">
        <w:rPr>
          <w:rFonts w:ascii="Calibri" w:eastAsia="Times New Roman" w:hAnsi="Calibri"/>
          <w:b/>
          <w:bCs/>
          <w:iCs/>
          <w:color w:val="auto"/>
          <w:sz w:val="22"/>
          <w:szCs w:val="22"/>
        </w:rPr>
        <w:t xml:space="preserve">   Is there already a baseline value for 2015? </w:t>
      </w:r>
    </w:p>
    <w:p w:rsidR="00AD5942" w:rsidRPr="00AD5942" w:rsidRDefault="00AD5942" w:rsidP="00AD5942">
      <w:pPr>
        <w:spacing w:line="276" w:lineRule="auto"/>
        <w:ind w:right="-285"/>
        <w:jc w:val="both"/>
        <w:rPr>
          <w:rFonts w:ascii="Calibri" w:eastAsia="Calibri" w:hAnsi="Calibri"/>
          <w:color w:val="auto"/>
          <w:sz w:val="22"/>
          <w:szCs w:val="22"/>
        </w:rPr>
      </w:pPr>
    </w:p>
    <w:p w:rsidR="00AD5942" w:rsidRPr="00AD5942" w:rsidRDefault="00AD5942" w:rsidP="00AD5942">
      <w:pPr>
        <w:spacing w:after="120" w:line="276" w:lineRule="auto"/>
        <w:ind w:right="-285"/>
        <w:jc w:val="both"/>
        <w:rPr>
          <w:rFonts w:ascii="Calibri" w:eastAsia="Calibri" w:hAnsi="Calibri"/>
          <w:color w:val="auto"/>
          <w:sz w:val="22"/>
          <w:szCs w:val="22"/>
        </w:rPr>
      </w:pPr>
      <w:r w:rsidRPr="00AD5942">
        <w:rPr>
          <w:rFonts w:ascii="Calibri" w:eastAsia="Calibri" w:hAnsi="Calibri"/>
          <w:color w:val="auto"/>
          <w:sz w:val="22"/>
          <w:szCs w:val="22"/>
        </w:rPr>
        <w:t xml:space="preserve">There are a number of targets that have been proposed for this indicator. For instance, the World Summit on Sustainable Development proposed reaching 100% by 2015, while the Convention on Biological Diversity (CBD) Aichi proposed the 100 percent target by 2020.  Since the indicator examines an extent of implementation of various international instruments and guidelines some of which would require substantial amount of time to complete legal and administrative process, it would not be realistic to assume reaching 100 % in a short period. However, aiming for 100 % of countries reaching to the High and Medium high category could be meaningful targets for 2030 or beyond.    </w:t>
      </w:r>
    </w:p>
    <w:p w:rsidR="00AD5942" w:rsidRPr="00AD5942" w:rsidRDefault="00AD5942" w:rsidP="00AD5942">
      <w:pPr>
        <w:spacing w:after="200" w:line="276" w:lineRule="auto"/>
        <w:ind w:right="-285"/>
        <w:rPr>
          <w:rFonts w:ascii="Calibri" w:eastAsia="Calibri" w:hAnsi="Calibri"/>
          <w:color w:val="auto"/>
          <w:sz w:val="22"/>
          <w:szCs w:val="22"/>
        </w:rPr>
      </w:pPr>
      <w:r w:rsidRPr="00AD5942">
        <w:rPr>
          <w:rFonts w:ascii="Calibri" w:eastAsia="Calibri" w:hAnsi="Calibri"/>
          <w:color w:val="auto"/>
          <w:sz w:val="22"/>
          <w:szCs w:val="22"/>
        </w:rPr>
        <w:br w:type="page"/>
      </w:r>
    </w:p>
    <w:p w:rsidR="00AD5942" w:rsidRPr="00AD5942" w:rsidRDefault="00AD5942" w:rsidP="00AD5942">
      <w:pPr>
        <w:spacing w:after="200" w:line="276" w:lineRule="auto"/>
        <w:ind w:right="-285"/>
        <w:jc w:val="both"/>
        <w:rPr>
          <w:rFonts w:ascii="Calibri" w:eastAsia="Calibri" w:hAnsi="Calibri"/>
          <w:b/>
          <w:color w:val="244061"/>
        </w:rPr>
      </w:pPr>
      <w:proofErr w:type="gramStart"/>
      <w:r w:rsidRPr="00AD5942">
        <w:rPr>
          <w:rFonts w:ascii="Calibri" w:eastAsia="Calibri" w:hAnsi="Calibri"/>
          <w:b/>
          <w:color w:val="244061"/>
          <w:u w:val="single"/>
        </w:rPr>
        <w:lastRenderedPageBreak/>
        <w:t xml:space="preserve">Annex </w:t>
      </w:r>
      <w:r w:rsidRPr="00AD5942">
        <w:rPr>
          <w:rFonts w:ascii="Calibri" w:eastAsia="Calibri" w:hAnsi="Calibri"/>
          <w:b/>
          <w:color w:val="244061"/>
        </w:rPr>
        <w:t>:</w:t>
      </w:r>
      <w:proofErr w:type="gramEnd"/>
      <w:r w:rsidRPr="00AD5942">
        <w:rPr>
          <w:rFonts w:ascii="Calibri" w:eastAsia="Calibri" w:hAnsi="Calibri"/>
          <w:b/>
          <w:color w:val="244061"/>
        </w:rPr>
        <w:t xml:space="preserve"> Details of fisheries/aquaculture CCRF response indicator </w:t>
      </w:r>
    </w:p>
    <w:p w:rsidR="00AD5942" w:rsidRPr="00AD5942" w:rsidRDefault="00AD5942" w:rsidP="00AD5942">
      <w:pPr>
        <w:spacing w:after="200" w:line="276" w:lineRule="auto"/>
        <w:ind w:right="-285"/>
        <w:jc w:val="both"/>
        <w:rPr>
          <w:rFonts w:ascii="Calibri" w:eastAsia="Calibri" w:hAnsi="Calibri"/>
          <w:sz w:val="20"/>
          <w:szCs w:val="22"/>
        </w:rPr>
      </w:pPr>
    </w:p>
    <w:tbl>
      <w:tblPr>
        <w:tblW w:w="5223" w:type="pct"/>
        <w:jc w:val="center"/>
        <w:tblLayout w:type="fixed"/>
        <w:tblLook w:val="04A0" w:firstRow="1" w:lastRow="0" w:firstColumn="1" w:lastColumn="0" w:noHBand="0" w:noVBand="1"/>
      </w:tblPr>
      <w:tblGrid>
        <w:gridCol w:w="973"/>
        <w:gridCol w:w="203"/>
        <w:gridCol w:w="3064"/>
        <w:gridCol w:w="4078"/>
        <w:gridCol w:w="203"/>
        <w:gridCol w:w="1133"/>
      </w:tblGrid>
      <w:tr w:rsidR="00AD5942" w:rsidRPr="00AD5942" w:rsidTr="00CB74FD">
        <w:trPr>
          <w:trHeight w:val="315"/>
          <w:jc w:val="center"/>
        </w:trPr>
        <w:tc>
          <w:tcPr>
            <w:tcW w:w="2196" w:type="pct"/>
            <w:gridSpan w:val="3"/>
            <w:tcBorders>
              <w:top w:val="nil"/>
              <w:left w:val="nil"/>
              <w:bottom w:val="single" w:sz="4" w:space="0" w:color="FFFFFF" w:themeColor="background1"/>
              <w:right w:val="single" w:sz="4" w:space="0" w:color="FFFFFF" w:themeColor="background1"/>
            </w:tcBorders>
            <w:shd w:val="clear" w:color="auto" w:fill="F2F2F2" w:themeFill="background1" w:themeFillShade="F2"/>
            <w:noWrap/>
            <w:vAlign w:val="center"/>
          </w:tcPr>
          <w:p w:rsidR="00AD5942" w:rsidRPr="00AD5942" w:rsidRDefault="00AD5942" w:rsidP="00AD5942">
            <w:pPr>
              <w:spacing w:after="200" w:line="276" w:lineRule="auto"/>
              <w:ind w:right="-285"/>
              <w:jc w:val="center"/>
              <w:rPr>
                <w:rFonts w:ascii="Calibri" w:eastAsia="Calibri" w:hAnsi="Calibri"/>
                <w:b/>
                <w:sz w:val="16"/>
                <w:szCs w:val="18"/>
              </w:rPr>
            </w:pPr>
            <w:r w:rsidRPr="00AD5942">
              <w:rPr>
                <w:rFonts w:ascii="Calibri" w:eastAsia="Calibri" w:hAnsi="Calibri"/>
                <w:b/>
                <w:sz w:val="16"/>
                <w:szCs w:val="18"/>
              </w:rPr>
              <w:t>CCRF Questionnaire Number and Topic</w:t>
            </w:r>
          </w:p>
        </w:tc>
        <w:tc>
          <w:tcPr>
            <w:tcW w:w="2112" w:type="pct"/>
            <w:tcBorders>
              <w:top w:val="nil"/>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center"/>
          </w:tcPr>
          <w:p w:rsidR="00AD5942" w:rsidRPr="00AD5942" w:rsidRDefault="00AD5942" w:rsidP="00AD5942">
            <w:pPr>
              <w:spacing w:after="200" w:line="276" w:lineRule="auto"/>
              <w:ind w:right="-285"/>
              <w:jc w:val="center"/>
              <w:rPr>
                <w:rFonts w:ascii="Calibri" w:eastAsia="Calibri" w:hAnsi="Calibri"/>
                <w:b/>
                <w:sz w:val="16"/>
                <w:szCs w:val="18"/>
              </w:rPr>
            </w:pPr>
            <w:r w:rsidRPr="00AD5942">
              <w:rPr>
                <w:rFonts w:ascii="Calibri" w:eastAsia="Calibri" w:hAnsi="Calibri"/>
                <w:b/>
                <w:sz w:val="16"/>
                <w:szCs w:val="18"/>
              </w:rPr>
              <w:t>Scoring Methodology</w:t>
            </w:r>
          </w:p>
        </w:tc>
        <w:tc>
          <w:tcPr>
            <w:tcW w:w="692" w:type="pct"/>
            <w:gridSpan w:val="2"/>
            <w:tcBorders>
              <w:top w:val="nil"/>
              <w:left w:val="single" w:sz="4" w:space="0" w:color="FFFFFF" w:themeColor="background1"/>
              <w:bottom w:val="single" w:sz="4" w:space="0" w:color="FFFFFF" w:themeColor="background1"/>
              <w:right w:val="nil"/>
            </w:tcBorders>
            <w:shd w:val="clear" w:color="auto" w:fill="F2F2F2" w:themeFill="background1" w:themeFillShade="F2"/>
            <w:noWrap/>
            <w:vAlign w:val="center"/>
          </w:tcPr>
          <w:p w:rsidR="00AD5942" w:rsidRPr="00AD5942" w:rsidRDefault="00AD5942" w:rsidP="00AD5942">
            <w:pPr>
              <w:spacing w:after="200" w:line="276" w:lineRule="auto"/>
              <w:ind w:right="-285"/>
              <w:jc w:val="center"/>
              <w:rPr>
                <w:rFonts w:ascii="Calibri" w:eastAsia="Calibri" w:hAnsi="Calibri"/>
                <w:b/>
                <w:sz w:val="16"/>
                <w:szCs w:val="18"/>
              </w:rPr>
            </w:pPr>
            <w:r w:rsidRPr="00AD5942">
              <w:rPr>
                <w:rFonts w:ascii="Calibri" w:eastAsia="Calibri" w:hAnsi="Calibri"/>
                <w:b/>
                <w:sz w:val="16"/>
                <w:szCs w:val="18"/>
              </w:rPr>
              <w:t>Full score</w:t>
            </w:r>
          </w:p>
        </w:tc>
      </w:tr>
      <w:tr w:rsidR="00AD5942" w:rsidRPr="00AD5942" w:rsidTr="00CB74FD">
        <w:trPr>
          <w:trHeight w:val="315"/>
          <w:jc w:val="center"/>
        </w:trPr>
        <w:tc>
          <w:tcPr>
            <w:tcW w:w="2196" w:type="pct"/>
            <w:gridSpan w:val="3"/>
            <w:tcBorders>
              <w:top w:val="single" w:sz="4" w:space="0" w:color="FFFFFF" w:themeColor="background1"/>
              <w:left w:val="nil"/>
              <w:bottom w:val="single" w:sz="4" w:space="0" w:color="FFFFFF" w:themeColor="background1"/>
            </w:tcBorders>
            <w:shd w:val="clear" w:color="auto" w:fill="F2F2F2" w:themeFill="background1" w:themeFillShade="F2"/>
            <w:noWrap/>
            <w:vAlign w:val="bottom"/>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b/>
                <w:i/>
                <w:sz w:val="16"/>
                <w:szCs w:val="18"/>
              </w:rPr>
              <w:t>Fisheries:</w:t>
            </w:r>
          </w:p>
        </w:tc>
        <w:tc>
          <w:tcPr>
            <w:tcW w:w="2112" w:type="pct"/>
            <w:tcBorders>
              <w:top w:val="single" w:sz="4" w:space="0" w:color="FFFFFF" w:themeColor="background1"/>
              <w:bottom w:val="single" w:sz="4" w:space="0" w:color="FFFFFF" w:themeColor="background1"/>
            </w:tcBorders>
            <w:shd w:val="clear" w:color="auto" w:fill="F2F2F2" w:themeFill="background1" w:themeFillShade="F2"/>
            <w:noWrap/>
            <w:vAlign w:val="bottom"/>
          </w:tcPr>
          <w:p w:rsidR="00AD5942" w:rsidRPr="00AD5942" w:rsidRDefault="00AD5942" w:rsidP="00AD5942">
            <w:pPr>
              <w:spacing w:after="200" w:line="276" w:lineRule="auto"/>
              <w:ind w:right="-285"/>
              <w:rPr>
                <w:rFonts w:ascii="Calibri" w:eastAsia="Calibri" w:hAnsi="Calibri"/>
                <w:sz w:val="16"/>
                <w:szCs w:val="18"/>
              </w:rPr>
            </w:pPr>
          </w:p>
        </w:tc>
        <w:tc>
          <w:tcPr>
            <w:tcW w:w="692" w:type="pct"/>
            <w:gridSpan w:val="2"/>
            <w:tcBorders>
              <w:top w:val="single" w:sz="4" w:space="0" w:color="FFFFFF" w:themeColor="background1"/>
              <w:bottom w:val="single" w:sz="4" w:space="0" w:color="FFFFFF" w:themeColor="background1"/>
              <w:right w:val="nil"/>
            </w:tcBorders>
            <w:shd w:val="clear" w:color="auto" w:fill="F2F2F2" w:themeFill="background1" w:themeFillShade="F2"/>
            <w:noWrap/>
            <w:vAlign w:val="bottom"/>
          </w:tcPr>
          <w:p w:rsidR="00AD5942" w:rsidRPr="00AD5942" w:rsidRDefault="00AD5942" w:rsidP="00AD5942">
            <w:pPr>
              <w:spacing w:after="200" w:line="276" w:lineRule="auto"/>
              <w:ind w:right="-285"/>
              <w:rPr>
                <w:rFonts w:ascii="Calibri" w:eastAsia="Calibri" w:hAnsi="Calibri"/>
                <w:sz w:val="16"/>
                <w:szCs w:val="18"/>
              </w:rPr>
            </w:pP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Q7.2</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Management plans</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 xml:space="preserve">Proportion implemented (Total 24, unless Marine/ Inland </w:t>
            </w:r>
            <w:proofErr w:type="spellStart"/>
            <w:r w:rsidRPr="00AD5942">
              <w:rPr>
                <w:rFonts w:ascii="Calibri" w:eastAsia="Calibri" w:hAnsi="Calibri"/>
                <w:sz w:val="16"/>
                <w:szCs w:val="18"/>
              </w:rPr>
              <w:t>n.a</w:t>
            </w:r>
            <w:proofErr w:type="spellEnd"/>
            <w:r w:rsidRPr="00AD5942">
              <w:rPr>
                <w:rFonts w:ascii="Calibri" w:eastAsia="Calibri" w:hAnsi="Calibri"/>
                <w:sz w:val="16"/>
                <w:szCs w:val="18"/>
              </w:rPr>
              <w:t>.)</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Q8</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left="130" w:right="-285" w:hanging="130"/>
              <w:rPr>
                <w:rFonts w:ascii="Calibri" w:eastAsia="Calibri" w:hAnsi="Calibri"/>
                <w:sz w:val="16"/>
                <w:szCs w:val="18"/>
              </w:rPr>
            </w:pPr>
            <w:r w:rsidRPr="00AD5942">
              <w:rPr>
                <w:rFonts w:ascii="Calibri" w:eastAsia="Calibri" w:hAnsi="Calibri"/>
                <w:sz w:val="16"/>
                <w:szCs w:val="18"/>
              </w:rPr>
              <w:t>Ecosystem approach</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Y in Q8 - 0.4; Y in Q8.1.1 to 3 additional 0.2; N in Q8 - 0</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Q18</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Coastal area management</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Average of Q18.1-18.3 [Full - 1; Partial - 0.5; None - 0]</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Q26.1</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Stock assessment</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As it is</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Q33</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Over-capacity</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Number of Y in Q33.1 and Q33.2 divided by number of items (20)</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Q34</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Bycatch-shark</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 xml:space="preserve">Y in Q34.1 - 0.3; Y in Q34.3 - additional 0.2 </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0.5</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Q35</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Bycatch-seabird</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 xml:space="preserve">Y in Q35.1 - 0.3; Y in Q35.4 - additional 0.2 </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0.5</w:t>
            </w:r>
          </w:p>
        </w:tc>
      </w:tr>
      <w:tr w:rsidR="00AD5942" w:rsidRPr="00AD5942" w:rsidTr="00CB74FD">
        <w:trPr>
          <w:trHeight w:val="315"/>
          <w:jc w:val="center"/>
        </w:trPr>
        <w:tc>
          <w:tcPr>
            <w:tcW w:w="504" w:type="pct"/>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Q38.1/Q38.1.1</w:t>
            </w:r>
          </w:p>
        </w:tc>
        <w:tc>
          <w:tcPr>
            <w:tcW w:w="16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NPOA-IUU</w:t>
            </w:r>
          </w:p>
        </w:tc>
        <w:tc>
          <w:tcPr>
            <w:tcW w:w="21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Y/Y - 1; Y/N - 0.5, N - 0</w:t>
            </w:r>
          </w:p>
        </w:tc>
        <w:tc>
          <w:tcPr>
            <w:tcW w:w="692" w:type="pct"/>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2196" w:type="pct"/>
            <w:gridSpan w:val="3"/>
            <w:tcBorders>
              <w:top w:val="single" w:sz="4" w:space="0" w:color="FFFFFF" w:themeColor="background1"/>
              <w:bottom w:val="single" w:sz="4" w:space="0" w:color="FFFFFF" w:themeColor="background1"/>
            </w:tcBorders>
            <w:shd w:val="clear" w:color="auto" w:fill="F2F2F2" w:themeFill="background1" w:themeFillShade="F2"/>
            <w:noWrap/>
            <w:vAlign w:val="bottom"/>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b/>
                <w:i/>
                <w:sz w:val="16"/>
                <w:szCs w:val="18"/>
              </w:rPr>
              <w:t>Aquaculture:</w:t>
            </w:r>
          </w:p>
        </w:tc>
        <w:tc>
          <w:tcPr>
            <w:tcW w:w="2217" w:type="pct"/>
            <w:gridSpan w:val="2"/>
            <w:tcBorders>
              <w:top w:val="single" w:sz="4" w:space="0" w:color="FFFFFF" w:themeColor="background1"/>
              <w:bottom w:val="single" w:sz="4" w:space="0" w:color="FFFFFF" w:themeColor="background1"/>
            </w:tcBorders>
            <w:shd w:val="clear" w:color="auto" w:fill="F2F2F2" w:themeFill="background1" w:themeFillShade="F2"/>
            <w:noWrap/>
            <w:vAlign w:val="bottom"/>
          </w:tcPr>
          <w:p w:rsidR="00AD5942" w:rsidRPr="00AD5942" w:rsidRDefault="00AD5942" w:rsidP="00AD5942">
            <w:pPr>
              <w:spacing w:after="200" w:line="276" w:lineRule="auto"/>
              <w:ind w:right="-285"/>
              <w:rPr>
                <w:rFonts w:ascii="Calibri" w:eastAsia="Calibri" w:hAnsi="Calibri"/>
                <w:sz w:val="16"/>
                <w:szCs w:val="18"/>
              </w:rPr>
            </w:pPr>
          </w:p>
        </w:tc>
        <w:tc>
          <w:tcPr>
            <w:tcW w:w="587" w:type="pct"/>
            <w:tcBorders>
              <w:top w:val="single" w:sz="4" w:space="0" w:color="FFFFFF" w:themeColor="background1"/>
              <w:bottom w:val="single" w:sz="4" w:space="0" w:color="FFFFFF" w:themeColor="background1"/>
              <w:right w:val="nil"/>
            </w:tcBorders>
            <w:shd w:val="clear" w:color="auto" w:fill="F2F2F2" w:themeFill="background1" w:themeFillShade="F2"/>
            <w:noWrap/>
            <w:vAlign w:val="bottom"/>
          </w:tcPr>
          <w:p w:rsidR="00AD5942" w:rsidRPr="00AD5942" w:rsidRDefault="00AD5942" w:rsidP="00AD5942">
            <w:pPr>
              <w:spacing w:after="200" w:line="276" w:lineRule="auto"/>
              <w:ind w:right="-285"/>
              <w:jc w:val="right"/>
              <w:rPr>
                <w:rFonts w:ascii="Calibri" w:eastAsia="Calibri" w:hAnsi="Calibri"/>
                <w:sz w:val="16"/>
                <w:szCs w:val="18"/>
              </w:rPr>
            </w:pPr>
          </w:p>
        </w:tc>
      </w:tr>
      <w:tr w:rsidR="00AD5942" w:rsidRPr="00AD5942" w:rsidTr="00CB74FD">
        <w:trPr>
          <w:trHeight w:val="315"/>
          <w:jc w:val="center"/>
        </w:trPr>
        <w:tc>
          <w:tcPr>
            <w:tcW w:w="609" w:type="pct"/>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Q16.1</w:t>
            </w:r>
          </w:p>
        </w:tc>
        <w:tc>
          <w:tcPr>
            <w:tcW w:w="158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Environmental assessment</w:t>
            </w:r>
          </w:p>
        </w:tc>
        <w:tc>
          <w:tcPr>
            <w:tcW w:w="2217"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Y-0.5; Highly effective - additional 0.5, need improvement - additional 0.3; None - 0</w:t>
            </w:r>
          </w:p>
        </w:tc>
        <w:tc>
          <w:tcPr>
            <w:tcW w:w="587" w:type="pct"/>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609" w:type="pct"/>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Q16.2</w:t>
            </w:r>
          </w:p>
        </w:tc>
        <w:tc>
          <w:tcPr>
            <w:tcW w:w="158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Monitor operation</w:t>
            </w:r>
          </w:p>
        </w:tc>
        <w:tc>
          <w:tcPr>
            <w:tcW w:w="2217"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Y-0.5; Highly effective - additional 0.5, need improvement - additional 0.3; None - 0</w:t>
            </w:r>
          </w:p>
        </w:tc>
        <w:tc>
          <w:tcPr>
            <w:tcW w:w="587" w:type="pct"/>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r w:rsidR="00AD5942" w:rsidRPr="00AD5942" w:rsidTr="00CB74FD">
        <w:trPr>
          <w:trHeight w:val="315"/>
          <w:jc w:val="center"/>
        </w:trPr>
        <w:tc>
          <w:tcPr>
            <w:tcW w:w="609" w:type="pct"/>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Q16.3</w:t>
            </w:r>
          </w:p>
        </w:tc>
        <w:tc>
          <w:tcPr>
            <w:tcW w:w="158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Minimize harmful impacts of alien species</w:t>
            </w:r>
          </w:p>
        </w:tc>
        <w:tc>
          <w:tcPr>
            <w:tcW w:w="2217"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noWrap/>
            <w:vAlign w:val="bottom"/>
            <w:hideMark/>
          </w:tcPr>
          <w:p w:rsidR="00AD5942" w:rsidRPr="00AD5942" w:rsidRDefault="00AD5942" w:rsidP="00AD5942">
            <w:pPr>
              <w:spacing w:after="200" w:line="276" w:lineRule="auto"/>
              <w:ind w:right="-285"/>
              <w:rPr>
                <w:rFonts w:ascii="Calibri" w:eastAsia="Calibri" w:hAnsi="Calibri"/>
                <w:sz w:val="16"/>
                <w:szCs w:val="18"/>
              </w:rPr>
            </w:pPr>
            <w:r w:rsidRPr="00AD5942">
              <w:rPr>
                <w:rFonts w:ascii="Calibri" w:eastAsia="Calibri" w:hAnsi="Calibri"/>
                <w:sz w:val="16"/>
                <w:szCs w:val="18"/>
              </w:rPr>
              <w:t>Y-0.5; Highly effective - additional 0.5, need improvement - additional 0.3; None - 0</w:t>
            </w:r>
          </w:p>
        </w:tc>
        <w:tc>
          <w:tcPr>
            <w:tcW w:w="587" w:type="pct"/>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noWrap/>
            <w:vAlign w:val="bottom"/>
            <w:hideMark/>
          </w:tcPr>
          <w:p w:rsidR="00AD5942" w:rsidRPr="00AD5942" w:rsidRDefault="00AD5942" w:rsidP="00AD5942">
            <w:pPr>
              <w:spacing w:after="200" w:line="276" w:lineRule="auto"/>
              <w:ind w:right="-285"/>
              <w:jc w:val="right"/>
              <w:rPr>
                <w:rFonts w:ascii="Calibri" w:eastAsia="Calibri" w:hAnsi="Calibri"/>
                <w:sz w:val="16"/>
                <w:szCs w:val="18"/>
              </w:rPr>
            </w:pPr>
            <w:r w:rsidRPr="00AD5942">
              <w:rPr>
                <w:rFonts w:ascii="Calibri" w:eastAsia="Calibri" w:hAnsi="Calibri"/>
                <w:sz w:val="16"/>
                <w:szCs w:val="18"/>
              </w:rPr>
              <w:t>1</w:t>
            </w:r>
          </w:p>
        </w:tc>
      </w:tr>
    </w:tbl>
    <w:p w:rsidR="0035634B" w:rsidRPr="00AD5942" w:rsidRDefault="0035634B" w:rsidP="00AD5942">
      <w:pPr>
        <w:ind w:right="-285"/>
        <w:rPr>
          <w:rFonts w:ascii="Calibri" w:eastAsia="Constantia" w:hAnsi="Calibri" w:cs="Consolas"/>
          <w:b/>
          <w:bCs/>
          <w:color w:val="auto"/>
          <w:sz w:val="28"/>
          <w:szCs w:val="28"/>
        </w:rPr>
      </w:pPr>
      <w:bookmarkStart w:id="11" w:name="_GoBack"/>
      <w:bookmarkEnd w:id="11"/>
    </w:p>
    <w:sectPr w:rsidR="0035634B" w:rsidRPr="00AD594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3C5" w:rsidRDefault="00D843C5" w:rsidP="00AD5942">
      <w:r>
        <w:separator/>
      </w:r>
    </w:p>
  </w:endnote>
  <w:endnote w:type="continuationSeparator" w:id="0">
    <w:p w:rsidR="00D843C5" w:rsidRDefault="00D843C5" w:rsidP="00AD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tantia">
    <w:panose1 w:val="02030602050306030303"/>
    <w:charset w:val="00"/>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3C5" w:rsidRDefault="00D843C5" w:rsidP="00AD5942">
      <w:r>
        <w:separator/>
      </w:r>
    </w:p>
  </w:footnote>
  <w:footnote w:type="continuationSeparator" w:id="0">
    <w:p w:rsidR="00D843C5" w:rsidRDefault="00D843C5" w:rsidP="00AD5942">
      <w:r>
        <w:continuationSeparator/>
      </w:r>
    </w:p>
  </w:footnote>
  <w:footnote w:id="1">
    <w:p w:rsidR="00AD5942" w:rsidRPr="007840B0" w:rsidRDefault="00AD5942" w:rsidP="00AD5942">
      <w:pPr>
        <w:pStyle w:val="FootnoteText"/>
        <w:rPr>
          <w:rFonts w:asciiTheme="majorHAnsi" w:hAnsiTheme="majorHAnsi"/>
          <w:sz w:val="18"/>
          <w:szCs w:val="18"/>
        </w:rPr>
      </w:pPr>
      <w:r w:rsidRPr="007840B0">
        <w:rPr>
          <w:rStyle w:val="FootnoteReference"/>
          <w:rFonts w:asciiTheme="majorHAnsi" w:hAnsiTheme="majorHAnsi"/>
          <w:sz w:val="18"/>
          <w:szCs w:val="18"/>
        </w:rPr>
        <w:footnoteRef/>
      </w:r>
      <w:r w:rsidRPr="007840B0">
        <w:rPr>
          <w:rFonts w:asciiTheme="majorHAnsi" w:hAnsiTheme="majorHAnsi"/>
          <w:sz w:val="18"/>
          <w:szCs w:val="18"/>
        </w:rPr>
        <w:t xml:space="preserve"> As opposed to the language used in the Aichi Targets of the Convention on Biological Diversity (CBD).</w:t>
      </w:r>
    </w:p>
  </w:footnote>
  <w:footnote w:id="2">
    <w:p w:rsidR="00AD5942" w:rsidRPr="0014132C" w:rsidRDefault="00AD5942" w:rsidP="00AD5942">
      <w:pPr>
        <w:pStyle w:val="FootnoteText"/>
        <w:rPr>
          <w:rFonts w:asciiTheme="majorHAnsi" w:hAnsiTheme="majorHAnsi"/>
          <w:color w:val="auto"/>
          <w:sz w:val="18"/>
          <w:szCs w:val="18"/>
        </w:rPr>
      </w:pPr>
      <w:r w:rsidRPr="007840B0">
        <w:rPr>
          <w:rStyle w:val="FootnoteReference"/>
          <w:rFonts w:asciiTheme="majorHAnsi" w:hAnsiTheme="majorHAnsi"/>
          <w:sz w:val="18"/>
          <w:szCs w:val="18"/>
        </w:rPr>
        <w:footnoteRef/>
      </w:r>
      <w:r w:rsidRPr="007840B0">
        <w:rPr>
          <w:rFonts w:asciiTheme="majorHAnsi" w:hAnsiTheme="majorHAnsi"/>
          <w:sz w:val="18"/>
          <w:szCs w:val="18"/>
        </w:rPr>
        <w:t xml:space="preserve"> See: </w:t>
      </w:r>
      <w:hyperlink r:id="rId1" w:history="1">
        <w:r w:rsidRPr="0014132C">
          <w:rPr>
            <w:rStyle w:val="Hyperlink1"/>
            <w:rFonts w:asciiTheme="majorHAnsi" w:hAnsiTheme="majorHAnsi"/>
            <w:color w:val="auto"/>
            <w:sz w:val="18"/>
            <w:szCs w:val="18"/>
          </w:rPr>
          <w:t>http://mdgs.un.org/unsd/mi/wiki/7-4-Proportion-of-fish-stocks-within-safe-biological-limits.ashx</w:t>
        </w:r>
      </w:hyperlink>
      <w:r w:rsidRPr="0014132C">
        <w:rPr>
          <w:rFonts w:asciiTheme="majorHAnsi" w:hAnsiTheme="majorHAnsi"/>
          <w:color w:val="auto"/>
          <w:sz w:val="18"/>
          <w:szCs w:val="18"/>
        </w:rPr>
        <w:t>.</w:t>
      </w:r>
    </w:p>
  </w:footnote>
  <w:footnote w:id="3">
    <w:p w:rsidR="00AD5942" w:rsidRPr="007840B0" w:rsidRDefault="00AD5942" w:rsidP="00AD5942">
      <w:pPr>
        <w:pStyle w:val="FootnoteText"/>
        <w:ind w:right="-285"/>
        <w:jc w:val="both"/>
        <w:rPr>
          <w:rFonts w:asciiTheme="majorHAnsi" w:hAnsiTheme="majorHAnsi"/>
          <w:sz w:val="18"/>
          <w:szCs w:val="18"/>
        </w:rPr>
      </w:pPr>
      <w:r w:rsidRPr="0014132C">
        <w:rPr>
          <w:rStyle w:val="FootnoteReference"/>
          <w:rFonts w:asciiTheme="majorHAnsi" w:hAnsiTheme="majorHAnsi"/>
          <w:color w:val="auto"/>
          <w:sz w:val="18"/>
          <w:szCs w:val="18"/>
        </w:rPr>
        <w:footnoteRef/>
      </w:r>
      <w:r w:rsidRPr="0014132C">
        <w:rPr>
          <w:rFonts w:asciiTheme="majorHAnsi" w:hAnsiTheme="majorHAnsi"/>
          <w:color w:val="auto"/>
          <w:sz w:val="18"/>
          <w:szCs w:val="18"/>
        </w:rPr>
        <w:t xml:space="preserve"> </w:t>
      </w:r>
      <w:proofErr w:type="gramStart"/>
      <w:r w:rsidRPr="0014132C">
        <w:rPr>
          <w:rFonts w:asciiTheme="majorHAnsi" w:hAnsiTheme="majorHAnsi"/>
          <w:color w:val="auto"/>
          <w:sz w:val="18"/>
          <w:szCs w:val="18"/>
        </w:rPr>
        <w:t>Report of the 30th Session of the Committee on Fisheries (2012), paragraph 17: The Committee expressed concern regarding the way in which fish stock status was often reported particularly the negative notion given by reporting of a high percentage of stocks being fully- or overexploited.</w:t>
      </w:r>
      <w:proofErr w:type="gramEnd"/>
      <w:r w:rsidRPr="0014132C">
        <w:rPr>
          <w:rFonts w:asciiTheme="majorHAnsi" w:hAnsiTheme="majorHAnsi"/>
          <w:color w:val="auto"/>
          <w:sz w:val="18"/>
          <w:szCs w:val="18"/>
        </w:rPr>
        <w:t xml:space="preserve"> In order to ensure accurate interpretation by the general public and avoid the risk of overemphasizing a negative perspective, the Committee recommended the FAO Secretariat consider a simpler classification of stock status, based on sustainability of their exploitation. Report of the 31st Session of the Committee on Fisheries (2014), paragraph 9: The Committee welcomed the new categorization of the status of marine stocks, as requested by the 30th Session of COFI. Most Members were encouraged</w:t>
      </w:r>
      <w:r w:rsidRPr="007840B0">
        <w:rPr>
          <w:rFonts w:asciiTheme="majorHAnsi" w:hAnsiTheme="majorHAnsi"/>
          <w:sz w:val="18"/>
          <w:szCs w:val="18"/>
        </w:rPr>
        <w:t xml:space="preserve"> by the results in SOFIA 2014.</w:t>
      </w:r>
    </w:p>
  </w:footnote>
  <w:footnote w:id="4">
    <w:p w:rsidR="00AD5942" w:rsidRPr="00CA1B60" w:rsidRDefault="00AD5942" w:rsidP="00AD5942">
      <w:pPr>
        <w:pStyle w:val="FootnoteText"/>
        <w:ind w:right="-285"/>
        <w:jc w:val="both"/>
        <w:rPr>
          <w:rFonts w:asciiTheme="majorHAnsi" w:hAnsiTheme="majorHAnsi"/>
          <w:sz w:val="18"/>
          <w:szCs w:val="18"/>
        </w:rPr>
      </w:pPr>
      <w:r w:rsidRPr="007840B0">
        <w:rPr>
          <w:rStyle w:val="FootnoteReference"/>
          <w:rFonts w:asciiTheme="majorHAnsi" w:hAnsiTheme="majorHAnsi"/>
          <w:sz w:val="18"/>
          <w:szCs w:val="18"/>
        </w:rPr>
        <w:footnoteRef/>
      </w:r>
      <w:r w:rsidRPr="007840B0">
        <w:rPr>
          <w:rFonts w:asciiTheme="majorHAnsi" w:hAnsiTheme="majorHAnsi"/>
          <w:sz w:val="18"/>
          <w:szCs w:val="18"/>
        </w:rPr>
        <w:t xml:space="preserve"> http://www.fao.org/docrep/015/i2389e/i2389e.pdf</w:t>
      </w:r>
    </w:p>
  </w:footnote>
  <w:footnote w:id="5">
    <w:p w:rsidR="00AD5942" w:rsidRPr="00CA1B60" w:rsidRDefault="00AD5942" w:rsidP="00AD5942">
      <w:pPr>
        <w:pStyle w:val="FootnoteText"/>
        <w:rPr>
          <w:rFonts w:asciiTheme="majorHAnsi" w:hAnsiTheme="majorHAnsi"/>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proofErr w:type="gramStart"/>
      <w:r w:rsidRPr="00CA1B60">
        <w:rPr>
          <w:rFonts w:asciiTheme="majorHAnsi" w:hAnsiTheme="majorHAnsi"/>
          <w:sz w:val="18"/>
          <w:szCs w:val="18"/>
        </w:rPr>
        <w:t>Secretariat of the Convention on Biological Diversity (2014) Global Biodiversity Outlook 4.</w:t>
      </w:r>
      <w:proofErr w:type="gramEnd"/>
      <w:r w:rsidRPr="00CA1B60">
        <w:rPr>
          <w:rFonts w:asciiTheme="majorHAnsi" w:hAnsiTheme="majorHAnsi"/>
          <w:sz w:val="18"/>
          <w:szCs w:val="18"/>
        </w:rPr>
        <w:t xml:space="preserve"> </w:t>
      </w:r>
      <w:proofErr w:type="gramStart"/>
      <w:r w:rsidRPr="00CA1B60">
        <w:rPr>
          <w:rFonts w:asciiTheme="majorHAnsi" w:hAnsiTheme="majorHAnsi"/>
          <w:sz w:val="18"/>
          <w:szCs w:val="18"/>
        </w:rPr>
        <w:t>Montreal, 155 pgs.</w:t>
      </w:r>
      <w:proofErr w:type="gramEnd"/>
    </w:p>
  </w:footnote>
  <w:footnote w:id="6">
    <w:p w:rsidR="00AD5942" w:rsidRPr="00764A4E" w:rsidRDefault="00AD5942" w:rsidP="00AD5942">
      <w:pPr>
        <w:spacing w:after="120"/>
        <w:jc w:val="both"/>
        <w:rPr>
          <w:rFonts w:asciiTheme="majorHAnsi" w:eastAsia="Calibri" w:hAnsiTheme="majorHAnsi"/>
          <w:sz w:val="18"/>
          <w:szCs w:val="18"/>
        </w:rPr>
      </w:pPr>
      <w:r w:rsidRPr="00764A4E">
        <w:rPr>
          <w:rStyle w:val="FootnoteReference"/>
          <w:rFonts w:asciiTheme="majorHAnsi" w:hAnsiTheme="majorHAnsi"/>
          <w:sz w:val="18"/>
          <w:szCs w:val="18"/>
        </w:rPr>
        <w:footnoteRef/>
      </w:r>
      <w:r w:rsidRPr="00764A4E">
        <w:rPr>
          <w:rFonts w:asciiTheme="majorHAnsi" w:hAnsiTheme="majorHAnsi"/>
          <w:sz w:val="18"/>
          <w:szCs w:val="18"/>
        </w:rPr>
        <w:t xml:space="preserve"> </w:t>
      </w:r>
      <w:r w:rsidRPr="00764A4E">
        <w:rPr>
          <w:rFonts w:asciiTheme="majorHAnsi" w:eastAsia="Calibri" w:hAnsiTheme="majorHAnsi"/>
          <w:sz w:val="18"/>
          <w:szCs w:val="18"/>
        </w:rPr>
        <w:t>Progress on the implementation of the FAO Code of Conduct for Responsible Fisheries is being reported on by FAO member countries using a self-assessment survey conducted every two years and presented to the biennial sessions of the Committee on Fisheries (COFI). All data is collected via the Code of Conduct of Responsible Fisheries [CCRF] questionnaire that is administered by FAO/FI.</w:t>
      </w:r>
    </w:p>
    <w:p w:rsidR="00AD5942" w:rsidRDefault="00AD5942" w:rsidP="00AD5942">
      <w:pPr>
        <w:pStyle w:val="FootnoteText"/>
      </w:pPr>
    </w:p>
  </w:footnote>
  <w:footnote w:id="7">
    <w:p w:rsidR="00AD5942" w:rsidRPr="00690EAE" w:rsidRDefault="00AD5942" w:rsidP="00AD5942">
      <w:pPr>
        <w:pStyle w:val="FootnoteText"/>
        <w:ind w:right="-285"/>
        <w:jc w:val="both"/>
        <w:rPr>
          <w:rFonts w:asciiTheme="majorHAnsi" w:hAnsiTheme="majorHAnsi"/>
        </w:rPr>
      </w:pPr>
      <w:r w:rsidRPr="0042012E">
        <w:rPr>
          <w:rStyle w:val="FootnoteReference"/>
          <w:rFonts w:asciiTheme="majorHAnsi" w:hAnsiTheme="majorHAnsi"/>
          <w:sz w:val="18"/>
        </w:rPr>
        <w:footnoteRef/>
      </w:r>
      <w:r w:rsidRPr="0042012E">
        <w:rPr>
          <w:rFonts w:asciiTheme="majorHAnsi" w:hAnsiTheme="majorHAnsi"/>
          <w:sz w:val="18"/>
        </w:rPr>
        <w:t xml:space="preserve"> Progress on the implementation of the FAO Code of Conduct for Responsible Fisheries is being reported on by FAO member countries using a self-assessment survey conducted every two years and presented to the biennial sessions of the Committee on Fisheries (COFI). All data is collected via the Code of Conduct of Responsible Fisheries [CCRF] questionnaire that is administered by FAO/FI. See factsheet for indicator 14.c.1 below.</w:t>
      </w:r>
    </w:p>
  </w:footnote>
  <w:footnote w:id="8">
    <w:p w:rsidR="00AD5942" w:rsidRPr="00CA1B60" w:rsidRDefault="00AD5942" w:rsidP="00AD5942">
      <w:pPr>
        <w:pStyle w:val="PlainText"/>
        <w:tabs>
          <w:tab w:val="left" w:pos="284"/>
        </w:tabs>
        <w:ind w:left="284" w:hanging="284"/>
        <w:jc w:val="both"/>
        <w:rPr>
          <w:rFonts w:asciiTheme="majorHAnsi" w:hAnsiTheme="majorHAnsi" w:cs="Times New Roman"/>
          <w:sz w:val="18"/>
          <w:szCs w:val="18"/>
        </w:rPr>
      </w:pPr>
      <w:r w:rsidRPr="00CA1B60">
        <w:rPr>
          <w:rStyle w:val="FootnoteReference"/>
          <w:rFonts w:asciiTheme="majorHAnsi" w:hAnsiTheme="majorHAnsi" w:cs="Times New Roman"/>
          <w:sz w:val="18"/>
          <w:szCs w:val="18"/>
        </w:rPr>
        <w:footnoteRef/>
      </w:r>
      <w:r w:rsidRPr="00CA1B60">
        <w:rPr>
          <w:rFonts w:asciiTheme="majorHAnsi" w:hAnsiTheme="majorHAnsi" w:cs="Times New Roman"/>
          <w:sz w:val="18"/>
          <w:szCs w:val="18"/>
        </w:rPr>
        <w:t xml:space="preserve"> </w:t>
      </w:r>
      <w:r w:rsidRPr="00CA1B60">
        <w:rPr>
          <w:rFonts w:asciiTheme="majorHAnsi" w:hAnsiTheme="majorHAnsi" w:cs="Times New Roman"/>
          <w:sz w:val="18"/>
          <w:szCs w:val="18"/>
        </w:rPr>
        <w:tab/>
        <w:t>The classification is based on the scores corresponding to the most probable best-case scenario and the minimum essential requirement to determine threshold for H and L, and then equally divided for intermediate ranking.</w:t>
      </w:r>
    </w:p>
  </w:footnote>
  <w:footnote w:id="9">
    <w:p w:rsidR="00AD5942" w:rsidRPr="00CA1B60" w:rsidRDefault="00AD5942" w:rsidP="00AD5942">
      <w:pPr>
        <w:tabs>
          <w:tab w:val="left" w:pos="284"/>
        </w:tabs>
        <w:ind w:left="284" w:hanging="284"/>
        <w:jc w:val="both"/>
        <w:rPr>
          <w:rFonts w:asciiTheme="majorHAnsi" w:hAnsiTheme="majorHAnsi"/>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r w:rsidRPr="00CA1B60">
        <w:rPr>
          <w:rFonts w:asciiTheme="majorHAnsi" w:hAnsiTheme="majorHAnsi"/>
          <w:sz w:val="18"/>
          <w:szCs w:val="18"/>
        </w:rPr>
        <w:tab/>
        <w:t xml:space="preserve">Code of Conduct of Responsible Fisheries (CCRF) is the principle instrument defining the actions required to ensure sustainable fisheries and aquaculture and FAO conduct the survey with questionnaire on the extent of implementation of CCRF at country level.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26B"/>
    <w:multiLevelType w:val="hybridMultilevel"/>
    <w:tmpl w:val="4F9C79DA"/>
    <w:lvl w:ilvl="0" w:tplc="2B689E84">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02489E"/>
    <w:multiLevelType w:val="multilevel"/>
    <w:tmpl w:val="41C227B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9C7FF6"/>
    <w:multiLevelType w:val="multilevel"/>
    <w:tmpl w:val="355ED998"/>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1C2C70F6"/>
    <w:multiLevelType w:val="multilevel"/>
    <w:tmpl w:val="DD2CA526"/>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
    <w:nsid w:val="1E013199"/>
    <w:multiLevelType w:val="hybridMultilevel"/>
    <w:tmpl w:val="0DF48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4A7354"/>
    <w:multiLevelType w:val="multilevel"/>
    <w:tmpl w:val="680AA5BA"/>
    <w:lvl w:ilvl="0">
      <w:start w:val="5"/>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6">
    <w:nsid w:val="26886C4C"/>
    <w:multiLevelType w:val="hybridMultilevel"/>
    <w:tmpl w:val="D56078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3AB7476"/>
    <w:multiLevelType w:val="multilevel"/>
    <w:tmpl w:val="35F2F4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750433B"/>
    <w:multiLevelType w:val="multilevel"/>
    <w:tmpl w:val="A0321CD4"/>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
    <w:nsid w:val="38AF4408"/>
    <w:multiLevelType w:val="hybridMultilevel"/>
    <w:tmpl w:val="A8B81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550AC7"/>
    <w:multiLevelType w:val="multilevel"/>
    <w:tmpl w:val="47EC92D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9AB49AB"/>
    <w:multiLevelType w:val="multilevel"/>
    <w:tmpl w:val="C3F2C3A8"/>
    <w:lvl w:ilvl="0">
      <w:start w:val="3"/>
      <w:numFmt w:val="decimal"/>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
    <w:nsid w:val="59B53CEB"/>
    <w:multiLevelType w:val="multilevel"/>
    <w:tmpl w:val="355ED998"/>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3">
    <w:nsid w:val="610D7087"/>
    <w:multiLevelType w:val="multilevel"/>
    <w:tmpl w:val="6E9009EA"/>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nsid w:val="64A25A1E"/>
    <w:multiLevelType w:val="multilevel"/>
    <w:tmpl w:val="680AA5BA"/>
    <w:lvl w:ilvl="0">
      <w:start w:val="5"/>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5">
    <w:nsid w:val="6B295416"/>
    <w:multiLevelType w:val="multilevel"/>
    <w:tmpl w:val="C770A46C"/>
    <w:lvl w:ilvl="0">
      <w:start w:val="4"/>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6">
    <w:nsid w:val="756578E0"/>
    <w:multiLevelType w:val="multilevel"/>
    <w:tmpl w:val="049E66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8076A25"/>
    <w:multiLevelType w:val="multilevel"/>
    <w:tmpl w:val="C770A46C"/>
    <w:lvl w:ilvl="0">
      <w:start w:val="4"/>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8">
    <w:nsid w:val="78C86286"/>
    <w:multiLevelType w:val="hybridMultilevel"/>
    <w:tmpl w:val="2FC643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9660921"/>
    <w:multiLevelType w:val="multilevel"/>
    <w:tmpl w:val="D67CE68A"/>
    <w:lvl w:ilvl="0">
      <w:start w:val="3"/>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0">
    <w:nsid w:val="7E56026D"/>
    <w:multiLevelType w:val="hybridMultilevel"/>
    <w:tmpl w:val="9A7E4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0"/>
  </w:num>
  <w:num w:numId="11">
    <w:abstractNumId w:val="11"/>
  </w:num>
  <w:num w:numId="1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15"/>
  </w:num>
  <w:num w:numId="19">
    <w:abstractNumId w:val="14"/>
  </w:num>
  <w:num w:numId="20">
    <w:abstractNumId w:val="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942"/>
    <w:rsid w:val="0035634B"/>
    <w:rsid w:val="00374D74"/>
    <w:rsid w:val="00AC1AA0"/>
    <w:rsid w:val="00AD5942"/>
    <w:rsid w:val="00D843C5"/>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noteText">
    <w:name w:val="footnote text"/>
    <w:basedOn w:val="Normal"/>
    <w:link w:val="FootnoteTextChar"/>
    <w:uiPriority w:val="99"/>
    <w:semiHidden/>
    <w:unhideWhenUsed/>
    <w:rsid w:val="00AD5942"/>
    <w:rPr>
      <w:sz w:val="20"/>
      <w:szCs w:val="20"/>
    </w:rPr>
  </w:style>
  <w:style w:type="character" w:customStyle="1" w:styleId="FootnoteTextChar">
    <w:name w:val="Footnote Text Char"/>
    <w:basedOn w:val="DefaultParagraphFont"/>
    <w:link w:val="FootnoteText"/>
    <w:uiPriority w:val="99"/>
    <w:semiHidden/>
    <w:rsid w:val="00AD5942"/>
    <w:rPr>
      <w:sz w:val="20"/>
      <w:szCs w:val="20"/>
    </w:rPr>
  </w:style>
  <w:style w:type="paragraph" w:styleId="PlainText">
    <w:name w:val="Plain Text"/>
    <w:basedOn w:val="Normal"/>
    <w:link w:val="PlainTextChar"/>
    <w:uiPriority w:val="99"/>
    <w:semiHidden/>
    <w:unhideWhenUsed/>
    <w:rsid w:val="00AD5942"/>
    <w:rPr>
      <w:rFonts w:ascii="Consolas" w:hAnsi="Consolas" w:cs="Consolas"/>
      <w:sz w:val="21"/>
      <w:szCs w:val="21"/>
    </w:rPr>
  </w:style>
  <w:style w:type="character" w:customStyle="1" w:styleId="PlainTextChar">
    <w:name w:val="Plain Text Char"/>
    <w:basedOn w:val="DefaultParagraphFont"/>
    <w:link w:val="PlainText"/>
    <w:uiPriority w:val="99"/>
    <w:semiHidden/>
    <w:rsid w:val="00AD5942"/>
    <w:rPr>
      <w:rFonts w:ascii="Consolas" w:hAnsi="Consolas" w:cs="Consolas"/>
      <w:sz w:val="21"/>
      <w:szCs w:val="21"/>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AD5942"/>
    <w:rPr>
      <w:vertAlign w:val="superscript"/>
    </w:rPr>
  </w:style>
  <w:style w:type="character" w:customStyle="1" w:styleId="Hyperlink1">
    <w:name w:val="Hyperlink1"/>
    <w:basedOn w:val="DefaultParagraphFont"/>
    <w:uiPriority w:val="99"/>
    <w:unhideWhenUsed/>
    <w:rsid w:val="00AD5942"/>
    <w:rPr>
      <w:color w:val="17BBFD"/>
      <w:u w:val="single"/>
    </w:rPr>
  </w:style>
  <w:style w:type="character" w:styleId="Hyperlink">
    <w:name w:val="Hyperlink"/>
    <w:basedOn w:val="DefaultParagraphFont"/>
    <w:uiPriority w:val="99"/>
    <w:semiHidden/>
    <w:unhideWhenUsed/>
    <w:rsid w:val="00AD59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noteText">
    <w:name w:val="footnote text"/>
    <w:basedOn w:val="Normal"/>
    <w:link w:val="FootnoteTextChar"/>
    <w:uiPriority w:val="99"/>
    <w:semiHidden/>
    <w:unhideWhenUsed/>
    <w:rsid w:val="00AD5942"/>
    <w:rPr>
      <w:sz w:val="20"/>
      <w:szCs w:val="20"/>
    </w:rPr>
  </w:style>
  <w:style w:type="character" w:customStyle="1" w:styleId="FootnoteTextChar">
    <w:name w:val="Footnote Text Char"/>
    <w:basedOn w:val="DefaultParagraphFont"/>
    <w:link w:val="FootnoteText"/>
    <w:uiPriority w:val="99"/>
    <w:semiHidden/>
    <w:rsid w:val="00AD5942"/>
    <w:rPr>
      <w:sz w:val="20"/>
      <w:szCs w:val="20"/>
    </w:rPr>
  </w:style>
  <w:style w:type="paragraph" w:styleId="PlainText">
    <w:name w:val="Plain Text"/>
    <w:basedOn w:val="Normal"/>
    <w:link w:val="PlainTextChar"/>
    <w:uiPriority w:val="99"/>
    <w:semiHidden/>
    <w:unhideWhenUsed/>
    <w:rsid w:val="00AD5942"/>
    <w:rPr>
      <w:rFonts w:ascii="Consolas" w:hAnsi="Consolas" w:cs="Consolas"/>
      <w:sz w:val="21"/>
      <w:szCs w:val="21"/>
    </w:rPr>
  </w:style>
  <w:style w:type="character" w:customStyle="1" w:styleId="PlainTextChar">
    <w:name w:val="Plain Text Char"/>
    <w:basedOn w:val="DefaultParagraphFont"/>
    <w:link w:val="PlainText"/>
    <w:uiPriority w:val="99"/>
    <w:semiHidden/>
    <w:rsid w:val="00AD5942"/>
    <w:rPr>
      <w:rFonts w:ascii="Consolas" w:hAnsi="Consolas" w:cs="Consolas"/>
      <w:sz w:val="21"/>
      <w:szCs w:val="21"/>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AD5942"/>
    <w:rPr>
      <w:vertAlign w:val="superscript"/>
    </w:rPr>
  </w:style>
  <w:style w:type="character" w:customStyle="1" w:styleId="Hyperlink1">
    <w:name w:val="Hyperlink1"/>
    <w:basedOn w:val="DefaultParagraphFont"/>
    <w:uiPriority w:val="99"/>
    <w:unhideWhenUsed/>
    <w:rsid w:val="00AD5942"/>
    <w:rPr>
      <w:color w:val="17BBFD"/>
      <w:u w:val="single"/>
    </w:rPr>
  </w:style>
  <w:style w:type="character" w:styleId="Hyperlink">
    <w:name w:val="Hyperlink"/>
    <w:basedOn w:val="DefaultParagraphFont"/>
    <w:uiPriority w:val="99"/>
    <w:semiHidden/>
    <w:unhideWhenUsed/>
    <w:rsid w:val="00AD59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nstats.un.org/unsd/envaccounting/%20seeaRev/SEEA_CF_Final_en.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access-dds-ny.un.org/doc/UNDOC/GEN/N11/476/10/PDF/N1147610.pdf?OpenElement" TargetMode="External"/><Relationship Id="rId4" Type="http://schemas.openxmlformats.org/officeDocument/2006/relationships/settings" Target="settings.xml"/><Relationship Id="rId9" Type="http://schemas.openxmlformats.org/officeDocument/2006/relationships/hyperlink" Target="http://www.fao.org/3/a-i4356e.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mdgs.un.org/unsd/mi/wiki/7-4-Proportion-of-fish-stocks-within-safe-biological-limits.ash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6381</Words>
  <Characters>36374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2015-09-22T13:32:00Z</dcterms:created>
  <dcterms:modified xsi:type="dcterms:W3CDTF">2015-09-22T13:32:00Z</dcterms:modified>
</cp:coreProperties>
</file>